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8492B3"/>
    <w:p w14:paraId="7C4BF75C"/>
    <w:p w14:paraId="58FC880D"/>
    <w:p w14:paraId="2E003127">
      <w:pPr>
        <w:rPr>
          <w:sz w:val="18"/>
        </w:rPr>
      </w:pPr>
    </w:p>
    <w:p w14:paraId="1E1C579D">
      <w:pPr>
        <w:jc w:val="center"/>
        <w:rPr>
          <w:rFonts w:ascii="方正小标宋简体" w:eastAsia="方正小标宋简体"/>
          <w:b/>
          <w:spacing w:val="10"/>
          <w:sz w:val="56"/>
          <w:szCs w:val="44"/>
        </w:rPr>
      </w:pPr>
      <w:r>
        <w:rPr>
          <w:rFonts w:hint="eastAsia" w:ascii="方正小标宋简体" w:eastAsia="方正小标宋简体"/>
          <w:b/>
          <w:spacing w:val="10"/>
          <w:sz w:val="56"/>
          <w:szCs w:val="44"/>
          <w:lang w:val="en-US" w:eastAsia="zh-CN"/>
        </w:rPr>
        <w:t>随州</w:t>
      </w:r>
      <w:r>
        <w:rPr>
          <w:rFonts w:hint="eastAsia" w:ascii="方正小标宋简体" w:eastAsia="方正小标宋简体"/>
          <w:b/>
          <w:spacing w:val="10"/>
          <w:sz w:val="56"/>
          <w:szCs w:val="44"/>
        </w:rPr>
        <w:t>市污染源执法监测报告</w:t>
      </w:r>
    </w:p>
    <w:p w14:paraId="7D3EEF51">
      <w:pPr>
        <w:spacing w:before="156" w:beforeLines="50" w:line="320" w:lineRule="exact"/>
        <w:rPr>
          <w:rFonts w:eastAsia="仿宋_GB2312"/>
          <w:sz w:val="36"/>
          <w:szCs w:val="36"/>
        </w:rPr>
      </w:pPr>
    </w:p>
    <w:p w14:paraId="3DCAE0A0">
      <w:pPr>
        <w:spacing w:before="156" w:beforeLines="50"/>
        <w:jc w:val="center"/>
        <w:rPr>
          <w:rFonts w:ascii="黑体" w:hAnsi="黑体" w:eastAsia="黑体"/>
          <w:sz w:val="36"/>
          <w:szCs w:val="32"/>
        </w:rPr>
      </w:pPr>
      <w:r>
        <w:rPr>
          <w:rFonts w:hint="eastAsia" w:ascii="黑体" w:hAnsi="黑体" w:eastAsia="黑体"/>
          <w:sz w:val="40"/>
          <w:szCs w:val="32"/>
        </w:rPr>
        <w:t>(</w:t>
      </w:r>
      <w:r>
        <w:rPr>
          <w:rFonts w:hint="eastAsia" w:ascii="黑体" w:hAnsi="黑体" w:eastAsia="黑体"/>
          <w:sz w:val="40"/>
          <w:szCs w:val="32"/>
          <w:lang w:val="en-US" w:eastAsia="zh-CN"/>
        </w:rPr>
        <w:t>2024</w:t>
      </w:r>
      <w:r>
        <w:rPr>
          <w:rFonts w:hint="eastAsia" w:ascii="黑体" w:hAnsi="黑体" w:eastAsia="黑体"/>
          <w:sz w:val="40"/>
          <w:szCs w:val="32"/>
        </w:rPr>
        <w:t>年)</w:t>
      </w:r>
    </w:p>
    <w:p w14:paraId="3E2E03C3">
      <w:pPr>
        <w:spacing w:before="156" w:beforeLines="50"/>
        <w:jc w:val="center"/>
        <w:rPr>
          <w:rFonts w:eastAsia="仿宋_GB2312"/>
          <w:b/>
          <w:sz w:val="36"/>
          <w:szCs w:val="36"/>
        </w:rPr>
      </w:pPr>
      <w:bookmarkStart w:id="59" w:name="_GoBack"/>
      <w:bookmarkEnd w:id="59"/>
    </w:p>
    <w:p w14:paraId="34408740">
      <w:pPr>
        <w:spacing w:before="156" w:beforeLines="50"/>
        <w:rPr>
          <w:rFonts w:eastAsia="仿宋_GB2312"/>
          <w:sz w:val="48"/>
          <w:szCs w:val="48"/>
        </w:rPr>
      </w:pPr>
    </w:p>
    <w:p w14:paraId="1146FDB1">
      <w:pPr>
        <w:spacing w:before="156" w:beforeLines="50"/>
        <w:rPr>
          <w:rFonts w:eastAsia="仿宋_GB2312"/>
          <w:sz w:val="48"/>
          <w:szCs w:val="48"/>
        </w:rPr>
      </w:pPr>
    </w:p>
    <w:p w14:paraId="47F92795">
      <w:pPr>
        <w:spacing w:before="156" w:beforeLines="50"/>
        <w:rPr>
          <w:rFonts w:eastAsia="仿宋_GB2312"/>
          <w:sz w:val="48"/>
          <w:szCs w:val="48"/>
        </w:rPr>
      </w:pPr>
    </w:p>
    <w:p w14:paraId="7B2BD858">
      <w:pPr>
        <w:spacing w:before="156" w:beforeLines="50"/>
        <w:rPr>
          <w:rFonts w:eastAsia="仿宋_GB2312"/>
          <w:sz w:val="48"/>
          <w:szCs w:val="48"/>
        </w:rPr>
      </w:pPr>
    </w:p>
    <w:p w14:paraId="75DA5C43">
      <w:pPr>
        <w:spacing w:before="156" w:beforeLines="50"/>
        <w:rPr>
          <w:rFonts w:eastAsia="仿宋_GB2312"/>
          <w:sz w:val="48"/>
          <w:szCs w:val="48"/>
        </w:rPr>
      </w:pPr>
    </w:p>
    <w:p w14:paraId="24E37428">
      <w:pPr>
        <w:spacing w:before="156" w:beforeLines="50"/>
        <w:rPr>
          <w:rFonts w:eastAsia="仿宋_GB2312"/>
          <w:sz w:val="48"/>
          <w:szCs w:val="48"/>
        </w:rPr>
      </w:pPr>
    </w:p>
    <w:p w14:paraId="1C818FB7">
      <w:pPr>
        <w:jc w:val="center"/>
        <w:rPr>
          <w:rFonts w:eastAsia="仿宋_GB2312"/>
          <w:b/>
          <w:sz w:val="32"/>
          <w:szCs w:val="32"/>
        </w:rPr>
      </w:pPr>
    </w:p>
    <w:p w14:paraId="43F121B5">
      <w:pPr>
        <w:jc w:val="center"/>
        <w:rPr>
          <w:rFonts w:eastAsia="仿宋_GB2312"/>
          <w:b/>
          <w:sz w:val="32"/>
          <w:szCs w:val="32"/>
        </w:rPr>
      </w:pPr>
    </w:p>
    <w:p w14:paraId="05650C80">
      <w:pPr>
        <w:jc w:val="center"/>
        <w:rPr>
          <w:rFonts w:eastAsia="仿宋_GB2312"/>
          <w:b/>
          <w:sz w:val="32"/>
          <w:szCs w:val="32"/>
        </w:rPr>
      </w:pPr>
    </w:p>
    <w:p w14:paraId="6BF58FCA">
      <w:pPr>
        <w:rPr>
          <w:rFonts w:eastAsia="仿宋_GB2312"/>
          <w:b/>
          <w:sz w:val="28"/>
          <w:szCs w:val="32"/>
        </w:rPr>
      </w:pPr>
    </w:p>
    <w:p w14:paraId="373F4F94">
      <w:pPr>
        <w:jc w:val="center"/>
        <w:rPr>
          <w:rFonts w:ascii="楷体_GB2312" w:hAnsi="宋体" w:eastAsia="楷体_GB2312"/>
          <w:sz w:val="36"/>
          <w:szCs w:val="32"/>
        </w:rPr>
      </w:pPr>
      <w:r>
        <w:rPr>
          <w:rFonts w:hint="eastAsia" w:ascii="楷体_GB2312" w:hAnsi="宋体" w:eastAsia="楷体_GB2312"/>
          <w:sz w:val="36"/>
          <w:szCs w:val="32"/>
          <w:lang w:val="en-US" w:eastAsia="zh-CN"/>
        </w:rPr>
        <w:t>随州</w:t>
      </w:r>
      <w:r>
        <w:rPr>
          <w:rFonts w:hint="eastAsia" w:ascii="楷体_GB2312" w:hAnsi="宋体" w:eastAsia="楷体_GB2312"/>
          <w:sz w:val="36"/>
          <w:szCs w:val="32"/>
        </w:rPr>
        <w:t>市生态</w:t>
      </w:r>
      <w:r>
        <w:rPr>
          <w:rFonts w:ascii="楷体_GB2312" w:hAnsi="宋体" w:eastAsia="楷体_GB2312"/>
          <w:sz w:val="36"/>
          <w:szCs w:val="32"/>
        </w:rPr>
        <w:t>环境</w:t>
      </w:r>
      <w:r>
        <w:rPr>
          <w:rFonts w:hint="eastAsia" w:ascii="楷体_GB2312" w:hAnsi="宋体" w:eastAsia="楷体_GB2312"/>
          <w:sz w:val="36"/>
          <w:szCs w:val="32"/>
        </w:rPr>
        <w:t>局</w:t>
      </w:r>
    </w:p>
    <w:p w14:paraId="502F3210">
      <w:pPr>
        <w:spacing w:before="156" w:beforeLines="50"/>
        <w:ind w:firstLine="3240" w:firstLineChars="900"/>
        <w:rPr>
          <w:rFonts w:ascii="楷体_GB2312" w:hAnsi="宋体" w:eastAsia="楷体_GB2312"/>
          <w:sz w:val="36"/>
          <w:szCs w:val="32"/>
        </w:rPr>
      </w:pPr>
      <w:bookmarkStart w:id="0" w:name="_Toc28728"/>
      <w:bookmarkStart w:id="1" w:name="_Toc23815"/>
      <w:bookmarkStart w:id="2" w:name="_Toc120625575"/>
      <w:bookmarkStart w:id="3" w:name="_Toc120625868"/>
      <w:bookmarkStart w:id="4" w:name="_Toc20168"/>
      <w:r>
        <w:rPr>
          <w:rFonts w:hint="eastAsia" w:ascii="楷体_GB2312" w:hAnsi="宋体" w:eastAsia="楷体_GB2312"/>
          <w:sz w:val="36"/>
          <w:szCs w:val="32"/>
          <w:lang w:val="en-US" w:eastAsia="zh-CN"/>
        </w:rPr>
        <w:t>2024</w:t>
      </w:r>
      <w:r>
        <w:rPr>
          <w:rFonts w:ascii="楷体_GB2312" w:hAnsi="宋体" w:eastAsia="楷体_GB2312"/>
          <w:sz w:val="36"/>
          <w:szCs w:val="32"/>
        </w:rPr>
        <w:t>年</w:t>
      </w:r>
      <w:r>
        <w:rPr>
          <w:rFonts w:hint="eastAsia" w:ascii="楷体_GB2312" w:hAnsi="宋体" w:eastAsia="楷体_GB2312"/>
          <w:sz w:val="36"/>
          <w:szCs w:val="32"/>
          <w:lang w:val="en-US" w:eastAsia="zh-CN"/>
        </w:rPr>
        <w:t>12</w:t>
      </w:r>
      <w:r>
        <w:rPr>
          <w:rFonts w:hint="eastAsia" w:ascii="楷体_GB2312" w:hAnsi="宋体" w:eastAsia="楷体_GB2312"/>
          <w:sz w:val="36"/>
          <w:szCs w:val="32"/>
        </w:rPr>
        <w:t>月</w:t>
      </w:r>
      <w:bookmarkEnd w:id="0"/>
      <w:bookmarkEnd w:id="1"/>
      <w:bookmarkEnd w:id="2"/>
      <w:bookmarkEnd w:id="3"/>
      <w:bookmarkEnd w:id="4"/>
    </w:p>
    <w:p w14:paraId="186C130A">
      <w:pPr>
        <w:spacing w:before="156" w:beforeLines="50"/>
        <w:ind w:firstLine="2880" w:firstLineChars="900"/>
        <w:outlineLvl w:val="0"/>
        <w:rPr>
          <w:rFonts w:ascii="黑体" w:hAnsi="黑体" w:eastAsia="黑体"/>
          <w:sz w:val="32"/>
          <w:szCs w:val="32"/>
        </w:rPr>
      </w:pPr>
    </w:p>
    <w:sdt>
      <w:sdtPr>
        <w:rPr>
          <w:rFonts w:hint="eastAsia" w:ascii="黑体" w:hAnsi="黑体" w:eastAsia="黑体" w:cs="黑体"/>
          <w:kern w:val="2"/>
          <w:sz w:val="21"/>
          <w:szCs w:val="22"/>
        </w:rPr>
        <w:id w:val="147468687"/>
        <w:docPartObj>
          <w:docPartGallery w:val="Table of Contents"/>
          <w:docPartUnique/>
        </w:docPartObj>
      </w:sdtPr>
      <w:sdtEndPr>
        <w:rPr>
          <w:rFonts w:hint="eastAsia" w:ascii="黑体" w:hAnsi="黑体" w:eastAsia="黑体" w:cs="黑体"/>
          <w:b/>
          <w:kern w:val="0"/>
          <w:sz w:val="20"/>
          <w:szCs w:val="20"/>
        </w:rPr>
      </w:sdtEndPr>
      <w:sdtContent>
        <w:p w14:paraId="61DF5E9D">
          <w:pPr>
            <w:pStyle w:val="19"/>
            <w:tabs>
              <w:tab w:val="right" w:leader="dot" w:pos="8306"/>
            </w:tabs>
            <w:spacing w:line="500" w:lineRule="exact"/>
            <w:ind w:firstLine="420" w:firstLineChars="200"/>
            <w:jc w:val="center"/>
            <w:rPr>
              <w:rFonts w:cs="黑体" w:asciiTheme="minorEastAsia" w:hAnsiTheme="minorEastAsia"/>
              <w:b/>
              <w:sz w:val="40"/>
              <w:szCs w:val="52"/>
            </w:rPr>
          </w:pPr>
          <w:r>
            <w:rPr>
              <w:rFonts w:hint="eastAsia" w:cs="黑体" w:asciiTheme="minorEastAsia" w:hAnsiTheme="minorEastAsia"/>
              <w:b/>
              <w:sz w:val="40"/>
              <w:szCs w:val="52"/>
            </w:rPr>
            <w:t>目 录</w:t>
          </w:r>
        </w:p>
        <w:p w14:paraId="0B8B3755">
          <w:pPr>
            <w:pStyle w:val="8"/>
            <w:tabs>
              <w:tab w:val="right" w:leader="dot" w:pos="8296"/>
            </w:tabs>
            <w:rPr>
              <w:kern w:val="2"/>
              <w:sz w:val="21"/>
            </w:rPr>
          </w:pPr>
          <w:r>
            <w:fldChar w:fldCharType="begin"/>
          </w:r>
          <w:r>
            <w:instrText xml:space="preserve">TOC \o "1-2" \h \u </w:instrText>
          </w:r>
          <w:r>
            <w:fldChar w:fldCharType="separate"/>
          </w:r>
          <w:r>
            <w:fldChar w:fldCharType="begin"/>
          </w:r>
          <w:r>
            <w:instrText xml:space="preserve"> HYPERLINK \l "_Toc184200385" </w:instrText>
          </w:r>
          <w:r>
            <w:fldChar w:fldCharType="separate"/>
          </w:r>
          <w:r>
            <w:rPr>
              <w:rStyle w:val="13"/>
              <w:rFonts w:ascii="黑体" w:hAnsi="黑体" w:eastAsia="黑体"/>
            </w:rPr>
            <w:t>一、监测要求</w:t>
          </w:r>
          <w:r>
            <w:tab/>
          </w:r>
          <w:r>
            <w:fldChar w:fldCharType="begin"/>
          </w:r>
          <w:r>
            <w:instrText xml:space="preserve"> PAGEREF _Toc184200385 \h </w:instrText>
          </w:r>
          <w:r>
            <w:fldChar w:fldCharType="separate"/>
          </w:r>
          <w:r>
            <w:t>1</w:t>
          </w:r>
          <w:r>
            <w:fldChar w:fldCharType="end"/>
          </w:r>
          <w:r>
            <w:fldChar w:fldCharType="end"/>
          </w:r>
        </w:p>
        <w:p w14:paraId="60F8FAC3">
          <w:pPr>
            <w:pStyle w:val="9"/>
            <w:tabs>
              <w:tab w:val="right" w:leader="dot" w:pos="8296"/>
            </w:tabs>
            <w:rPr>
              <w:kern w:val="2"/>
              <w:sz w:val="21"/>
            </w:rPr>
          </w:pPr>
          <w:r>
            <w:fldChar w:fldCharType="begin"/>
          </w:r>
          <w:r>
            <w:instrText xml:space="preserve"> HYPERLINK \l "_Toc184200386" </w:instrText>
          </w:r>
          <w:r>
            <w:fldChar w:fldCharType="separate"/>
          </w:r>
          <w:r>
            <w:rPr>
              <w:rStyle w:val="13"/>
              <w:rFonts w:ascii="楷体_GB2312" w:eastAsia="楷体_GB2312"/>
            </w:rPr>
            <w:t>（一）</w:t>
          </w:r>
          <w:r>
            <w:rPr>
              <w:rStyle w:val="13"/>
              <w:rFonts w:ascii="楷体_GB2312" w:hAnsi="宋体" w:eastAsia="楷体_GB2312"/>
            </w:rPr>
            <w:t>监测范围</w:t>
          </w:r>
          <w:r>
            <w:tab/>
          </w:r>
          <w:r>
            <w:fldChar w:fldCharType="begin"/>
          </w:r>
          <w:r>
            <w:instrText xml:space="preserve"> PAGEREF _Toc184200386 \h </w:instrText>
          </w:r>
          <w:r>
            <w:fldChar w:fldCharType="separate"/>
          </w:r>
          <w:r>
            <w:t>1</w:t>
          </w:r>
          <w:r>
            <w:fldChar w:fldCharType="end"/>
          </w:r>
          <w:r>
            <w:fldChar w:fldCharType="end"/>
          </w:r>
        </w:p>
        <w:p w14:paraId="116D7689">
          <w:pPr>
            <w:pStyle w:val="9"/>
            <w:tabs>
              <w:tab w:val="right" w:leader="dot" w:pos="8296"/>
            </w:tabs>
            <w:rPr>
              <w:kern w:val="2"/>
              <w:sz w:val="21"/>
            </w:rPr>
          </w:pPr>
          <w:r>
            <w:fldChar w:fldCharType="begin"/>
          </w:r>
          <w:r>
            <w:instrText xml:space="preserve"> HYPERLINK \l "_Toc184200387" </w:instrText>
          </w:r>
          <w:r>
            <w:fldChar w:fldCharType="separate"/>
          </w:r>
          <w:r>
            <w:rPr>
              <w:rStyle w:val="13"/>
              <w:rFonts w:ascii="楷体_GB2312" w:eastAsia="楷体_GB2312"/>
            </w:rPr>
            <w:t>（二）监测项目</w:t>
          </w:r>
          <w:r>
            <w:tab/>
          </w:r>
          <w:r>
            <w:fldChar w:fldCharType="begin"/>
          </w:r>
          <w:r>
            <w:instrText xml:space="preserve"> PAGEREF _Toc184200387 \h </w:instrText>
          </w:r>
          <w:r>
            <w:fldChar w:fldCharType="separate"/>
          </w:r>
          <w:r>
            <w:t>1</w:t>
          </w:r>
          <w:r>
            <w:fldChar w:fldCharType="end"/>
          </w:r>
          <w:r>
            <w:fldChar w:fldCharType="end"/>
          </w:r>
        </w:p>
        <w:p w14:paraId="479E1DED">
          <w:pPr>
            <w:pStyle w:val="9"/>
            <w:tabs>
              <w:tab w:val="right" w:leader="dot" w:pos="8296"/>
            </w:tabs>
            <w:rPr>
              <w:kern w:val="2"/>
              <w:sz w:val="21"/>
            </w:rPr>
          </w:pPr>
          <w:r>
            <w:fldChar w:fldCharType="begin"/>
          </w:r>
          <w:r>
            <w:instrText xml:space="preserve"> HYPERLINK \l "_Toc184200388" </w:instrText>
          </w:r>
          <w:r>
            <w:fldChar w:fldCharType="separate"/>
          </w:r>
          <w:r>
            <w:rPr>
              <w:rStyle w:val="13"/>
              <w:rFonts w:ascii="楷体_GB2312" w:eastAsia="楷体_GB2312"/>
            </w:rPr>
            <w:t>（三）监测时间和频次</w:t>
          </w:r>
          <w:r>
            <w:tab/>
          </w:r>
          <w:r>
            <w:fldChar w:fldCharType="begin"/>
          </w:r>
          <w:r>
            <w:instrText xml:space="preserve"> PAGEREF _Toc184200388 \h </w:instrText>
          </w:r>
          <w:r>
            <w:fldChar w:fldCharType="separate"/>
          </w:r>
          <w:r>
            <w:t>2</w:t>
          </w:r>
          <w:r>
            <w:fldChar w:fldCharType="end"/>
          </w:r>
          <w:r>
            <w:fldChar w:fldCharType="end"/>
          </w:r>
        </w:p>
        <w:p w14:paraId="04386491">
          <w:pPr>
            <w:pStyle w:val="9"/>
            <w:tabs>
              <w:tab w:val="right" w:leader="dot" w:pos="8296"/>
            </w:tabs>
            <w:rPr>
              <w:kern w:val="2"/>
              <w:sz w:val="21"/>
            </w:rPr>
          </w:pPr>
          <w:r>
            <w:fldChar w:fldCharType="begin"/>
          </w:r>
          <w:r>
            <w:instrText xml:space="preserve"> HYPERLINK \l "_Toc184200389" </w:instrText>
          </w:r>
          <w:r>
            <w:fldChar w:fldCharType="separate"/>
          </w:r>
          <w:r>
            <w:rPr>
              <w:rStyle w:val="13"/>
              <w:rFonts w:ascii="楷体_GB2312" w:eastAsia="楷体_GB2312"/>
            </w:rPr>
            <w:t>（四）评价方法和标准</w:t>
          </w:r>
          <w:r>
            <w:tab/>
          </w:r>
          <w:r>
            <w:fldChar w:fldCharType="begin"/>
          </w:r>
          <w:r>
            <w:instrText xml:space="preserve"> PAGEREF _Toc184200389 \h </w:instrText>
          </w:r>
          <w:r>
            <w:fldChar w:fldCharType="separate"/>
          </w:r>
          <w:r>
            <w:t>2</w:t>
          </w:r>
          <w:r>
            <w:fldChar w:fldCharType="end"/>
          </w:r>
          <w:r>
            <w:fldChar w:fldCharType="end"/>
          </w:r>
        </w:p>
        <w:p w14:paraId="4E9F8C30">
          <w:pPr>
            <w:pStyle w:val="8"/>
            <w:tabs>
              <w:tab w:val="right" w:leader="dot" w:pos="8296"/>
            </w:tabs>
            <w:rPr>
              <w:kern w:val="2"/>
              <w:sz w:val="21"/>
            </w:rPr>
          </w:pPr>
          <w:r>
            <w:fldChar w:fldCharType="begin"/>
          </w:r>
          <w:r>
            <w:instrText xml:space="preserve"> HYPERLINK \l "_Toc184200390" </w:instrText>
          </w:r>
          <w:r>
            <w:fldChar w:fldCharType="separate"/>
          </w:r>
          <w:r>
            <w:rPr>
              <w:rStyle w:val="13"/>
              <w:rFonts w:ascii="黑体" w:hAnsi="黑体" w:eastAsia="黑体"/>
            </w:rPr>
            <w:t>二、总体情况</w:t>
          </w:r>
          <w:r>
            <w:tab/>
          </w:r>
          <w:r>
            <w:fldChar w:fldCharType="begin"/>
          </w:r>
          <w:r>
            <w:instrText xml:space="preserve"> PAGEREF _Toc184200390 \h </w:instrText>
          </w:r>
          <w:r>
            <w:fldChar w:fldCharType="separate"/>
          </w:r>
          <w:r>
            <w:t>2</w:t>
          </w:r>
          <w:r>
            <w:fldChar w:fldCharType="end"/>
          </w:r>
          <w:r>
            <w:fldChar w:fldCharType="end"/>
          </w:r>
        </w:p>
        <w:p w14:paraId="144EB647">
          <w:pPr>
            <w:pStyle w:val="8"/>
            <w:tabs>
              <w:tab w:val="right" w:leader="dot" w:pos="8296"/>
            </w:tabs>
            <w:rPr>
              <w:kern w:val="2"/>
              <w:sz w:val="21"/>
            </w:rPr>
          </w:pPr>
          <w:r>
            <w:fldChar w:fldCharType="begin"/>
          </w:r>
          <w:r>
            <w:instrText xml:space="preserve"> HYPERLINK \l "_Toc184200391" </w:instrText>
          </w:r>
          <w:r>
            <w:fldChar w:fldCharType="separate"/>
          </w:r>
          <w:r>
            <w:rPr>
              <w:rStyle w:val="13"/>
              <w:rFonts w:ascii="黑体" w:hAnsi="黑体" w:eastAsia="黑体"/>
            </w:rPr>
            <w:t>三、入河排污口监测情况</w:t>
          </w:r>
          <w:r>
            <w:tab/>
          </w:r>
          <w:r>
            <w:fldChar w:fldCharType="begin"/>
          </w:r>
          <w:r>
            <w:instrText xml:space="preserve"> PAGEREF _Toc184200391 \h </w:instrText>
          </w:r>
          <w:r>
            <w:fldChar w:fldCharType="separate"/>
          </w:r>
          <w:r>
            <w:t>2</w:t>
          </w:r>
          <w:r>
            <w:fldChar w:fldCharType="end"/>
          </w:r>
          <w:r>
            <w:fldChar w:fldCharType="end"/>
          </w:r>
        </w:p>
        <w:p w14:paraId="7F71D60C">
          <w:pPr>
            <w:pStyle w:val="9"/>
            <w:tabs>
              <w:tab w:val="right" w:leader="dot" w:pos="8296"/>
            </w:tabs>
            <w:rPr>
              <w:kern w:val="2"/>
              <w:sz w:val="21"/>
            </w:rPr>
          </w:pPr>
          <w:r>
            <w:fldChar w:fldCharType="begin"/>
          </w:r>
          <w:r>
            <w:instrText xml:space="preserve"> HYPERLINK \l "_Toc184200392" </w:instrText>
          </w:r>
          <w:r>
            <w:fldChar w:fldCharType="separate"/>
          </w:r>
          <w:r>
            <w:rPr>
              <w:rStyle w:val="13"/>
              <w:rFonts w:ascii="楷体_GB2312" w:eastAsia="楷体_GB2312"/>
            </w:rPr>
            <w:t>（一）监测情况</w:t>
          </w:r>
          <w:r>
            <w:tab/>
          </w:r>
          <w:r>
            <w:fldChar w:fldCharType="begin"/>
          </w:r>
          <w:r>
            <w:instrText xml:space="preserve"> PAGEREF _Toc184200392 \h </w:instrText>
          </w:r>
          <w:r>
            <w:fldChar w:fldCharType="separate"/>
          </w:r>
          <w:r>
            <w:t>3</w:t>
          </w:r>
          <w:r>
            <w:fldChar w:fldCharType="end"/>
          </w:r>
          <w:r>
            <w:fldChar w:fldCharType="end"/>
          </w:r>
        </w:p>
        <w:p w14:paraId="484C38A6">
          <w:pPr>
            <w:pStyle w:val="9"/>
            <w:tabs>
              <w:tab w:val="right" w:leader="dot" w:pos="8296"/>
            </w:tabs>
            <w:rPr>
              <w:kern w:val="2"/>
              <w:sz w:val="21"/>
            </w:rPr>
          </w:pPr>
          <w:r>
            <w:fldChar w:fldCharType="begin"/>
          </w:r>
          <w:r>
            <w:instrText xml:space="preserve"> HYPERLINK \l "_Toc184200393" </w:instrText>
          </w:r>
          <w:r>
            <w:fldChar w:fldCharType="separate"/>
          </w:r>
          <w:r>
            <w:rPr>
              <w:rStyle w:val="13"/>
              <w:rFonts w:ascii="楷体_GB2312" w:eastAsia="楷体_GB2312"/>
            </w:rPr>
            <w:t>（二）超标情况</w:t>
          </w:r>
          <w:r>
            <w:tab/>
          </w:r>
          <w:r>
            <w:fldChar w:fldCharType="begin"/>
          </w:r>
          <w:r>
            <w:instrText xml:space="preserve"> PAGEREF _Toc184200393 \h </w:instrText>
          </w:r>
          <w:r>
            <w:fldChar w:fldCharType="separate"/>
          </w:r>
          <w:r>
            <w:t>3</w:t>
          </w:r>
          <w:r>
            <w:fldChar w:fldCharType="end"/>
          </w:r>
          <w:r>
            <w:fldChar w:fldCharType="end"/>
          </w:r>
        </w:p>
        <w:p w14:paraId="5D284B37">
          <w:pPr>
            <w:pStyle w:val="8"/>
            <w:tabs>
              <w:tab w:val="right" w:leader="dot" w:pos="8296"/>
            </w:tabs>
            <w:rPr>
              <w:kern w:val="2"/>
              <w:sz w:val="21"/>
            </w:rPr>
          </w:pPr>
          <w:r>
            <w:fldChar w:fldCharType="begin"/>
          </w:r>
          <w:r>
            <w:instrText xml:space="preserve"> HYPERLINK \l "_Toc184200394" </w:instrText>
          </w:r>
          <w:r>
            <w:fldChar w:fldCharType="separate"/>
          </w:r>
          <w:r>
            <w:rPr>
              <w:rStyle w:val="13"/>
              <w:rFonts w:ascii="黑体" w:hAnsi="黑体" w:eastAsia="黑体"/>
            </w:rPr>
            <w:t>四、重点尾矿库监测情况</w:t>
          </w:r>
          <w:r>
            <w:tab/>
          </w:r>
          <w:r>
            <w:fldChar w:fldCharType="begin"/>
          </w:r>
          <w:r>
            <w:instrText xml:space="preserve"> PAGEREF _Toc184200394 \h </w:instrText>
          </w:r>
          <w:r>
            <w:fldChar w:fldCharType="separate"/>
          </w:r>
          <w:r>
            <w:t>4</w:t>
          </w:r>
          <w:r>
            <w:fldChar w:fldCharType="end"/>
          </w:r>
          <w:r>
            <w:fldChar w:fldCharType="end"/>
          </w:r>
        </w:p>
        <w:p w14:paraId="5AA1EF90">
          <w:pPr>
            <w:pStyle w:val="9"/>
            <w:tabs>
              <w:tab w:val="right" w:leader="dot" w:pos="8296"/>
            </w:tabs>
            <w:rPr>
              <w:kern w:val="2"/>
              <w:sz w:val="21"/>
            </w:rPr>
          </w:pPr>
          <w:r>
            <w:fldChar w:fldCharType="begin"/>
          </w:r>
          <w:r>
            <w:instrText xml:space="preserve"> HYPERLINK \l "_Toc184200395" </w:instrText>
          </w:r>
          <w:r>
            <w:fldChar w:fldCharType="separate"/>
          </w:r>
          <w:r>
            <w:rPr>
              <w:rStyle w:val="13"/>
              <w:rFonts w:ascii="楷体_GB2312" w:eastAsia="楷体_GB2312"/>
            </w:rPr>
            <w:t>（一）监测情况</w:t>
          </w:r>
          <w:r>
            <w:tab/>
          </w:r>
          <w:r>
            <w:fldChar w:fldCharType="begin"/>
          </w:r>
          <w:r>
            <w:instrText xml:space="preserve"> PAGEREF _Toc184200395 \h </w:instrText>
          </w:r>
          <w:r>
            <w:fldChar w:fldCharType="separate"/>
          </w:r>
          <w:r>
            <w:t>4</w:t>
          </w:r>
          <w:r>
            <w:fldChar w:fldCharType="end"/>
          </w:r>
          <w:r>
            <w:fldChar w:fldCharType="end"/>
          </w:r>
        </w:p>
        <w:p w14:paraId="2FBC9B9E">
          <w:pPr>
            <w:pStyle w:val="9"/>
            <w:tabs>
              <w:tab w:val="right" w:leader="dot" w:pos="8296"/>
            </w:tabs>
            <w:rPr>
              <w:kern w:val="2"/>
              <w:sz w:val="21"/>
            </w:rPr>
          </w:pPr>
          <w:r>
            <w:fldChar w:fldCharType="begin"/>
          </w:r>
          <w:r>
            <w:instrText xml:space="preserve"> HYPERLINK \l "_Toc184200396" </w:instrText>
          </w:r>
          <w:r>
            <w:fldChar w:fldCharType="separate"/>
          </w:r>
          <w:r>
            <w:rPr>
              <w:rStyle w:val="13"/>
              <w:rFonts w:ascii="楷体_GB2312" w:eastAsia="楷体_GB2312"/>
            </w:rPr>
            <w:t>（二）超标情况</w:t>
          </w:r>
          <w:r>
            <w:tab/>
          </w:r>
          <w:r>
            <w:fldChar w:fldCharType="begin"/>
          </w:r>
          <w:r>
            <w:instrText xml:space="preserve"> PAGEREF _Toc184200396 \h </w:instrText>
          </w:r>
          <w:r>
            <w:fldChar w:fldCharType="separate"/>
          </w:r>
          <w:r>
            <w:t>4</w:t>
          </w:r>
          <w:r>
            <w:fldChar w:fldCharType="end"/>
          </w:r>
          <w:r>
            <w:fldChar w:fldCharType="end"/>
          </w:r>
        </w:p>
        <w:p w14:paraId="6642311E">
          <w:pPr>
            <w:pStyle w:val="8"/>
            <w:tabs>
              <w:tab w:val="right" w:leader="dot" w:pos="8296"/>
            </w:tabs>
            <w:rPr>
              <w:kern w:val="2"/>
              <w:sz w:val="21"/>
            </w:rPr>
          </w:pPr>
          <w:r>
            <w:fldChar w:fldCharType="begin"/>
          </w:r>
          <w:r>
            <w:instrText xml:space="preserve"> HYPERLINK \l "_Toc184200397" </w:instrText>
          </w:r>
          <w:r>
            <w:fldChar w:fldCharType="separate"/>
          </w:r>
          <w:r>
            <w:rPr>
              <w:rStyle w:val="13"/>
              <w:rFonts w:ascii="黑体" w:hAnsi="黑体" w:eastAsia="黑体"/>
            </w:rPr>
            <w:t>五、磷石膏库（堆场）监测情况</w:t>
          </w:r>
          <w:r>
            <w:tab/>
          </w:r>
          <w:r>
            <w:fldChar w:fldCharType="begin"/>
          </w:r>
          <w:r>
            <w:instrText xml:space="preserve"> PAGEREF _Toc184200397 \h </w:instrText>
          </w:r>
          <w:r>
            <w:fldChar w:fldCharType="separate"/>
          </w:r>
          <w:r>
            <w:t>5</w:t>
          </w:r>
          <w:r>
            <w:fldChar w:fldCharType="end"/>
          </w:r>
          <w:r>
            <w:fldChar w:fldCharType="end"/>
          </w:r>
        </w:p>
        <w:p w14:paraId="03875F15">
          <w:pPr>
            <w:pStyle w:val="9"/>
            <w:tabs>
              <w:tab w:val="right" w:leader="dot" w:pos="8296"/>
            </w:tabs>
            <w:rPr>
              <w:kern w:val="2"/>
              <w:sz w:val="21"/>
            </w:rPr>
          </w:pPr>
          <w:r>
            <w:fldChar w:fldCharType="begin"/>
          </w:r>
          <w:r>
            <w:instrText xml:space="preserve"> HYPERLINK \l "_Toc184200398" </w:instrText>
          </w:r>
          <w:r>
            <w:fldChar w:fldCharType="separate"/>
          </w:r>
          <w:r>
            <w:rPr>
              <w:rStyle w:val="13"/>
              <w:rFonts w:ascii="楷体_GB2312" w:eastAsia="楷体_GB2312"/>
            </w:rPr>
            <w:t>（一）监测情况</w:t>
          </w:r>
          <w:r>
            <w:tab/>
          </w:r>
          <w:r>
            <w:fldChar w:fldCharType="begin"/>
          </w:r>
          <w:r>
            <w:instrText xml:space="preserve"> PAGEREF _Toc184200398 \h </w:instrText>
          </w:r>
          <w:r>
            <w:fldChar w:fldCharType="separate"/>
          </w:r>
          <w:r>
            <w:t>5</w:t>
          </w:r>
          <w:r>
            <w:fldChar w:fldCharType="end"/>
          </w:r>
          <w:r>
            <w:fldChar w:fldCharType="end"/>
          </w:r>
        </w:p>
        <w:p w14:paraId="7BD3F57C">
          <w:pPr>
            <w:pStyle w:val="9"/>
            <w:tabs>
              <w:tab w:val="right" w:leader="dot" w:pos="8296"/>
            </w:tabs>
            <w:rPr>
              <w:kern w:val="2"/>
              <w:sz w:val="21"/>
            </w:rPr>
          </w:pPr>
          <w:r>
            <w:fldChar w:fldCharType="begin"/>
          </w:r>
          <w:r>
            <w:instrText xml:space="preserve"> HYPERLINK \l "_Toc184200399" </w:instrText>
          </w:r>
          <w:r>
            <w:fldChar w:fldCharType="separate"/>
          </w:r>
          <w:r>
            <w:rPr>
              <w:rStyle w:val="13"/>
              <w:rFonts w:ascii="楷体_GB2312" w:eastAsia="楷体_GB2312"/>
            </w:rPr>
            <w:t>（二）超标情况</w:t>
          </w:r>
          <w:r>
            <w:tab/>
          </w:r>
          <w:r>
            <w:fldChar w:fldCharType="begin"/>
          </w:r>
          <w:r>
            <w:instrText xml:space="preserve"> PAGEREF _Toc184200399 \h </w:instrText>
          </w:r>
          <w:r>
            <w:fldChar w:fldCharType="separate"/>
          </w:r>
          <w:r>
            <w:t>5</w:t>
          </w:r>
          <w:r>
            <w:fldChar w:fldCharType="end"/>
          </w:r>
          <w:r>
            <w:fldChar w:fldCharType="end"/>
          </w:r>
        </w:p>
        <w:p w14:paraId="25876D81">
          <w:pPr>
            <w:pStyle w:val="8"/>
            <w:tabs>
              <w:tab w:val="right" w:leader="dot" w:pos="8296"/>
            </w:tabs>
            <w:rPr>
              <w:kern w:val="2"/>
              <w:sz w:val="21"/>
            </w:rPr>
          </w:pPr>
          <w:r>
            <w:fldChar w:fldCharType="begin"/>
          </w:r>
          <w:r>
            <w:instrText xml:space="preserve"> HYPERLINK \l "_Toc184200400" </w:instrText>
          </w:r>
          <w:r>
            <w:fldChar w:fldCharType="separate"/>
          </w:r>
          <w:r>
            <w:rPr>
              <w:rStyle w:val="13"/>
              <w:rFonts w:ascii="黑体" w:hAnsi="黑体" w:eastAsia="黑体"/>
            </w:rPr>
            <w:t>六、涉重行业企业监测情况</w:t>
          </w:r>
          <w:r>
            <w:tab/>
          </w:r>
          <w:r>
            <w:fldChar w:fldCharType="begin"/>
          </w:r>
          <w:r>
            <w:instrText xml:space="preserve"> PAGEREF _Toc184200400 \h </w:instrText>
          </w:r>
          <w:r>
            <w:fldChar w:fldCharType="separate"/>
          </w:r>
          <w:r>
            <w:t>5</w:t>
          </w:r>
          <w:r>
            <w:fldChar w:fldCharType="end"/>
          </w:r>
          <w:r>
            <w:fldChar w:fldCharType="end"/>
          </w:r>
        </w:p>
        <w:p w14:paraId="71ED907D">
          <w:pPr>
            <w:pStyle w:val="9"/>
            <w:tabs>
              <w:tab w:val="right" w:leader="dot" w:pos="8296"/>
            </w:tabs>
            <w:rPr>
              <w:kern w:val="2"/>
              <w:sz w:val="21"/>
            </w:rPr>
          </w:pPr>
          <w:r>
            <w:fldChar w:fldCharType="begin"/>
          </w:r>
          <w:r>
            <w:instrText xml:space="preserve"> HYPERLINK \l "_Toc184200401" </w:instrText>
          </w:r>
          <w:r>
            <w:fldChar w:fldCharType="separate"/>
          </w:r>
          <w:r>
            <w:rPr>
              <w:rStyle w:val="13"/>
              <w:rFonts w:ascii="楷体_GB2312" w:eastAsia="楷体_GB2312"/>
            </w:rPr>
            <w:t>（一）监测情况</w:t>
          </w:r>
          <w:r>
            <w:tab/>
          </w:r>
          <w:r>
            <w:fldChar w:fldCharType="begin"/>
          </w:r>
          <w:r>
            <w:instrText xml:space="preserve"> PAGEREF _Toc184200401 \h </w:instrText>
          </w:r>
          <w:r>
            <w:fldChar w:fldCharType="separate"/>
          </w:r>
          <w:r>
            <w:t>5</w:t>
          </w:r>
          <w:r>
            <w:fldChar w:fldCharType="end"/>
          </w:r>
          <w:r>
            <w:fldChar w:fldCharType="end"/>
          </w:r>
        </w:p>
        <w:p w14:paraId="6E14B15A">
          <w:pPr>
            <w:pStyle w:val="9"/>
            <w:tabs>
              <w:tab w:val="right" w:leader="dot" w:pos="8296"/>
            </w:tabs>
            <w:rPr>
              <w:kern w:val="2"/>
              <w:sz w:val="21"/>
            </w:rPr>
          </w:pPr>
          <w:r>
            <w:fldChar w:fldCharType="begin"/>
          </w:r>
          <w:r>
            <w:instrText xml:space="preserve"> HYPERLINK \l "_Toc184200402" </w:instrText>
          </w:r>
          <w:r>
            <w:fldChar w:fldCharType="separate"/>
          </w:r>
          <w:r>
            <w:rPr>
              <w:rStyle w:val="13"/>
              <w:rFonts w:ascii="楷体_GB2312" w:eastAsia="楷体_GB2312"/>
            </w:rPr>
            <w:t>（二）超标情况</w:t>
          </w:r>
          <w:r>
            <w:tab/>
          </w:r>
          <w:r>
            <w:fldChar w:fldCharType="begin"/>
          </w:r>
          <w:r>
            <w:instrText xml:space="preserve"> PAGEREF _Toc184200402 \h </w:instrText>
          </w:r>
          <w:r>
            <w:fldChar w:fldCharType="separate"/>
          </w:r>
          <w:r>
            <w:t>6</w:t>
          </w:r>
          <w:r>
            <w:fldChar w:fldCharType="end"/>
          </w:r>
          <w:r>
            <w:fldChar w:fldCharType="end"/>
          </w:r>
        </w:p>
        <w:p w14:paraId="1C526241">
          <w:pPr>
            <w:pStyle w:val="8"/>
            <w:tabs>
              <w:tab w:val="right" w:leader="dot" w:pos="8296"/>
            </w:tabs>
            <w:rPr>
              <w:kern w:val="2"/>
              <w:sz w:val="21"/>
            </w:rPr>
          </w:pPr>
          <w:r>
            <w:fldChar w:fldCharType="begin"/>
          </w:r>
          <w:r>
            <w:instrText xml:space="preserve"> HYPERLINK \l "_Toc184200403" </w:instrText>
          </w:r>
          <w:r>
            <w:fldChar w:fldCharType="separate"/>
          </w:r>
          <w:r>
            <w:rPr>
              <w:rStyle w:val="13"/>
              <w:rFonts w:ascii="黑体" w:hAnsi="黑体" w:eastAsia="黑体"/>
            </w:rPr>
            <w:t>七、其他排污单位监测情况</w:t>
          </w:r>
          <w:r>
            <w:tab/>
          </w:r>
          <w:r>
            <w:fldChar w:fldCharType="begin"/>
          </w:r>
          <w:r>
            <w:instrText xml:space="preserve"> PAGEREF _Toc184200403 \h </w:instrText>
          </w:r>
          <w:r>
            <w:fldChar w:fldCharType="separate"/>
          </w:r>
          <w:r>
            <w:t>6</w:t>
          </w:r>
          <w:r>
            <w:fldChar w:fldCharType="end"/>
          </w:r>
          <w:r>
            <w:fldChar w:fldCharType="end"/>
          </w:r>
        </w:p>
        <w:p w14:paraId="7074164C">
          <w:pPr>
            <w:pStyle w:val="9"/>
            <w:tabs>
              <w:tab w:val="right" w:leader="dot" w:pos="8296"/>
            </w:tabs>
            <w:rPr>
              <w:kern w:val="2"/>
              <w:sz w:val="21"/>
            </w:rPr>
          </w:pPr>
          <w:r>
            <w:fldChar w:fldCharType="begin"/>
          </w:r>
          <w:r>
            <w:instrText xml:space="preserve"> HYPERLINK \l "_Toc184200404" </w:instrText>
          </w:r>
          <w:r>
            <w:fldChar w:fldCharType="separate"/>
          </w:r>
          <w:r>
            <w:rPr>
              <w:rStyle w:val="13"/>
              <w:rFonts w:ascii="楷体_GB2312" w:eastAsia="楷体_GB2312"/>
            </w:rPr>
            <w:t>（一）监测情况</w:t>
          </w:r>
          <w:r>
            <w:tab/>
          </w:r>
          <w:r>
            <w:fldChar w:fldCharType="begin"/>
          </w:r>
          <w:r>
            <w:instrText xml:space="preserve"> PAGEREF _Toc184200404 \h </w:instrText>
          </w:r>
          <w:r>
            <w:fldChar w:fldCharType="separate"/>
          </w:r>
          <w:r>
            <w:t>6</w:t>
          </w:r>
          <w:r>
            <w:fldChar w:fldCharType="end"/>
          </w:r>
          <w:r>
            <w:fldChar w:fldCharType="end"/>
          </w:r>
        </w:p>
        <w:p w14:paraId="0E7C5D63">
          <w:pPr>
            <w:pStyle w:val="9"/>
            <w:tabs>
              <w:tab w:val="right" w:leader="dot" w:pos="8296"/>
            </w:tabs>
            <w:rPr>
              <w:kern w:val="2"/>
              <w:sz w:val="21"/>
            </w:rPr>
          </w:pPr>
          <w:r>
            <w:fldChar w:fldCharType="begin"/>
          </w:r>
          <w:r>
            <w:instrText xml:space="preserve"> HYPERLINK \l "_Toc184200405" </w:instrText>
          </w:r>
          <w:r>
            <w:fldChar w:fldCharType="separate"/>
          </w:r>
          <w:r>
            <w:rPr>
              <w:rStyle w:val="13"/>
              <w:rFonts w:ascii="楷体_GB2312" w:eastAsia="楷体_GB2312"/>
            </w:rPr>
            <w:t>（二）超标情况</w:t>
          </w:r>
          <w:r>
            <w:tab/>
          </w:r>
          <w:r>
            <w:fldChar w:fldCharType="begin"/>
          </w:r>
          <w:r>
            <w:instrText xml:space="preserve"> PAGEREF _Toc184200405 \h </w:instrText>
          </w:r>
          <w:r>
            <w:fldChar w:fldCharType="separate"/>
          </w:r>
          <w:r>
            <w:t>7</w:t>
          </w:r>
          <w:r>
            <w:fldChar w:fldCharType="end"/>
          </w:r>
          <w:r>
            <w:fldChar w:fldCharType="end"/>
          </w:r>
        </w:p>
        <w:p w14:paraId="31059EF0">
          <w:pPr>
            <w:pStyle w:val="8"/>
            <w:tabs>
              <w:tab w:val="right" w:leader="dot" w:pos="8296"/>
            </w:tabs>
            <w:rPr>
              <w:kern w:val="2"/>
              <w:sz w:val="21"/>
            </w:rPr>
          </w:pPr>
          <w:r>
            <w:fldChar w:fldCharType="begin"/>
          </w:r>
          <w:r>
            <w:instrText xml:space="preserve"> HYPERLINK \l "_Toc184200406" </w:instrText>
          </w:r>
          <w:r>
            <w:fldChar w:fldCharType="separate"/>
          </w:r>
          <w:r>
            <w:rPr>
              <w:rStyle w:val="13"/>
              <w:rFonts w:ascii="黑体" w:hAnsi="黑体" w:eastAsia="黑体"/>
            </w:rPr>
            <w:t>八、执法立案查处情况</w:t>
          </w:r>
          <w:r>
            <w:tab/>
          </w:r>
          <w:r>
            <w:fldChar w:fldCharType="begin"/>
          </w:r>
          <w:r>
            <w:instrText xml:space="preserve"> PAGEREF _Toc184200406 \h </w:instrText>
          </w:r>
          <w:r>
            <w:fldChar w:fldCharType="separate"/>
          </w:r>
          <w:r>
            <w:t>7</w:t>
          </w:r>
          <w:r>
            <w:fldChar w:fldCharType="end"/>
          </w:r>
          <w:r>
            <w:fldChar w:fldCharType="end"/>
          </w:r>
        </w:p>
        <w:p w14:paraId="0E7433B4">
          <w:pPr>
            <w:pStyle w:val="8"/>
            <w:tabs>
              <w:tab w:val="right" w:leader="dot" w:pos="8296"/>
            </w:tabs>
            <w:rPr>
              <w:kern w:val="2"/>
              <w:sz w:val="21"/>
            </w:rPr>
          </w:pPr>
          <w:r>
            <w:fldChar w:fldCharType="begin"/>
          </w:r>
          <w:r>
            <w:instrText xml:space="preserve"> HYPERLINK \l "_Toc184200407" </w:instrText>
          </w:r>
          <w:r>
            <w:fldChar w:fldCharType="separate"/>
          </w:r>
          <w:r>
            <w:rPr>
              <w:rStyle w:val="13"/>
              <w:rFonts w:ascii="黑体" w:hAnsi="黑体" w:eastAsia="黑体"/>
            </w:rPr>
            <w:t>九、存在的问题和不足</w:t>
          </w:r>
          <w:r>
            <w:tab/>
          </w:r>
          <w:r>
            <w:fldChar w:fldCharType="begin"/>
          </w:r>
          <w:r>
            <w:instrText xml:space="preserve"> PAGEREF _Toc184200407 \h </w:instrText>
          </w:r>
          <w:r>
            <w:fldChar w:fldCharType="separate"/>
          </w:r>
          <w:r>
            <w:t>7</w:t>
          </w:r>
          <w:r>
            <w:fldChar w:fldCharType="end"/>
          </w:r>
          <w:r>
            <w:fldChar w:fldCharType="end"/>
          </w:r>
        </w:p>
        <w:p w14:paraId="5E217F5B">
          <w:pPr>
            <w:pStyle w:val="8"/>
            <w:tabs>
              <w:tab w:val="right" w:leader="dot" w:pos="8296"/>
            </w:tabs>
            <w:rPr>
              <w:kern w:val="2"/>
              <w:sz w:val="21"/>
            </w:rPr>
          </w:pPr>
          <w:r>
            <w:fldChar w:fldCharType="begin"/>
          </w:r>
          <w:r>
            <w:instrText xml:space="preserve"> HYPERLINK \l "_Toc184200408" </w:instrText>
          </w:r>
          <w:r>
            <w:fldChar w:fldCharType="separate"/>
          </w:r>
          <w:r>
            <w:rPr>
              <w:rStyle w:val="13"/>
              <w:rFonts w:ascii="黑体" w:hAnsi="黑体" w:eastAsia="黑体"/>
            </w:rPr>
            <w:t>十、下一步的工作计划及建议</w:t>
          </w:r>
          <w:r>
            <w:tab/>
          </w:r>
          <w:r>
            <w:fldChar w:fldCharType="begin"/>
          </w:r>
          <w:r>
            <w:instrText xml:space="preserve"> PAGEREF _Toc184200408 \h </w:instrText>
          </w:r>
          <w:r>
            <w:fldChar w:fldCharType="separate"/>
          </w:r>
          <w:r>
            <w:t>8</w:t>
          </w:r>
          <w:r>
            <w:fldChar w:fldCharType="end"/>
          </w:r>
          <w:r>
            <w:fldChar w:fldCharType="end"/>
          </w:r>
        </w:p>
        <w:p w14:paraId="45357E9F">
          <w:pPr>
            <w:pStyle w:val="9"/>
            <w:tabs>
              <w:tab w:val="right" w:leader="dot" w:pos="8296"/>
            </w:tabs>
            <w:rPr>
              <w:kern w:val="2"/>
              <w:sz w:val="21"/>
            </w:rPr>
          </w:pPr>
          <w:r>
            <w:fldChar w:fldCharType="begin"/>
          </w:r>
          <w:r>
            <w:instrText xml:space="preserve"> HYPERLINK \l "_Toc184200409" </w:instrText>
          </w:r>
          <w:r>
            <w:fldChar w:fldCharType="separate"/>
          </w:r>
          <w:r>
            <w:rPr>
              <w:rStyle w:val="13"/>
              <w:rFonts w:ascii="仿宋_GB2312" w:eastAsia="仿宋_GB2312"/>
              <w:b/>
            </w:rPr>
            <w:t>具体监测数据见附表：</w:t>
          </w:r>
          <w:r>
            <w:tab/>
          </w:r>
          <w:r>
            <w:fldChar w:fldCharType="begin"/>
          </w:r>
          <w:r>
            <w:instrText xml:space="preserve"> PAGEREF _Toc184200409 \h </w:instrText>
          </w:r>
          <w:r>
            <w:fldChar w:fldCharType="separate"/>
          </w:r>
          <w:r>
            <w:t>8</w:t>
          </w:r>
          <w:r>
            <w:fldChar w:fldCharType="end"/>
          </w:r>
          <w:r>
            <w:fldChar w:fldCharType="end"/>
          </w:r>
        </w:p>
        <w:p w14:paraId="22F14DFD">
          <w:pPr>
            <w:pStyle w:val="8"/>
            <w:tabs>
              <w:tab w:val="right" w:leader="dot" w:pos="8296"/>
            </w:tabs>
            <w:rPr>
              <w:kern w:val="2"/>
              <w:sz w:val="21"/>
            </w:rPr>
          </w:pPr>
          <w:r>
            <w:fldChar w:fldCharType="begin"/>
          </w:r>
          <w:r>
            <w:instrText xml:space="preserve"> HYPERLINK \l "_Toc184200410" </w:instrText>
          </w:r>
          <w:r>
            <w:fldChar w:fldCharType="separate"/>
          </w:r>
          <w:r>
            <w:rPr>
              <w:rStyle w:val="13"/>
              <w:rFonts w:ascii="仿宋_GB2312" w:eastAsia="仿宋_GB2312"/>
            </w:rPr>
            <w:t>附表1：入河排污口监测数据一览表</w:t>
          </w:r>
          <w:r>
            <w:tab/>
          </w:r>
          <w:r>
            <w:fldChar w:fldCharType="begin"/>
          </w:r>
          <w:r>
            <w:instrText xml:space="preserve"> PAGEREF _Toc184200410 \h </w:instrText>
          </w:r>
          <w:r>
            <w:fldChar w:fldCharType="separate"/>
          </w:r>
          <w:r>
            <w:t>8</w:t>
          </w:r>
          <w:r>
            <w:fldChar w:fldCharType="end"/>
          </w:r>
          <w:r>
            <w:fldChar w:fldCharType="end"/>
          </w:r>
        </w:p>
        <w:p w14:paraId="00278C13">
          <w:pPr>
            <w:pStyle w:val="8"/>
            <w:tabs>
              <w:tab w:val="right" w:leader="dot" w:pos="8296"/>
            </w:tabs>
            <w:rPr>
              <w:kern w:val="2"/>
              <w:sz w:val="21"/>
            </w:rPr>
          </w:pPr>
          <w:r>
            <w:fldChar w:fldCharType="begin"/>
          </w:r>
          <w:r>
            <w:instrText xml:space="preserve"> HYPERLINK \l "_Toc184200411" </w:instrText>
          </w:r>
          <w:r>
            <w:fldChar w:fldCharType="separate"/>
          </w:r>
          <w:r>
            <w:rPr>
              <w:rStyle w:val="13"/>
              <w:rFonts w:ascii="仿宋_GB2312" w:eastAsia="仿宋_GB2312"/>
            </w:rPr>
            <w:t>附表2：入河排污口超标数据一览表</w:t>
          </w:r>
          <w:r>
            <w:tab/>
          </w:r>
          <w:r>
            <w:fldChar w:fldCharType="begin"/>
          </w:r>
          <w:r>
            <w:instrText xml:space="preserve"> PAGEREF _Toc184200411 \h </w:instrText>
          </w:r>
          <w:r>
            <w:fldChar w:fldCharType="separate"/>
          </w:r>
          <w:r>
            <w:t>8</w:t>
          </w:r>
          <w:r>
            <w:fldChar w:fldCharType="end"/>
          </w:r>
          <w:r>
            <w:fldChar w:fldCharType="end"/>
          </w:r>
        </w:p>
        <w:p w14:paraId="64BB7DAB">
          <w:pPr>
            <w:pStyle w:val="8"/>
            <w:tabs>
              <w:tab w:val="right" w:leader="dot" w:pos="8296"/>
            </w:tabs>
            <w:rPr>
              <w:kern w:val="2"/>
              <w:sz w:val="21"/>
            </w:rPr>
          </w:pPr>
          <w:r>
            <w:fldChar w:fldCharType="begin"/>
          </w:r>
          <w:r>
            <w:instrText xml:space="preserve"> HYPERLINK \l "_Toc184200412" </w:instrText>
          </w:r>
          <w:r>
            <w:fldChar w:fldCharType="separate"/>
          </w:r>
          <w:r>
            <w:rPr>
              <w:rStyle w:val="13"/>
              <w:rFonts w:ascii="仿宋_GB2312" w:eastAsia="仿宋_GB2312"/>
            </w:rPr>
            <w:t>附表3：重点尾矿库监测数据一览表</w:t>
          </w:r>
          <w:r>
            <w:tab/>
          </w:r>
          <w:r>
            <w:fldChar w:fldCharType="begin"/>
          </w:r>
          <w:r>
            <w:instrText xml:space="preserve"> PAGEREF _Toc184200412 \h </w:instrText>
          </w:r>
          <w:r>
            <w:fldChar w:fldCharType="separate"/>
          </w:r>
          <w:r>
            <w:t>8</w:t>
          </w:r>
          <w:r>
            <w:fldChar w:fldCharType="end"/>
          </w:r>
          <w:r>
            <w:fldChar w:fldCharType="end"/>
          </w:r>
        </w:p>
        <w:p w14:paraId="307D173A">
          <w:pPr>
            <w:pStyle w:val="8"/>
            <w:tabs>
              <w:tab w:val="right" w:leader="dot" w:pos="8296"/>
            </w:tabs>
            <w:rPr>
              <w:kern w:val="2"/>
              <w:sz w:val="21"/>
            </w:rPr>
          </w:pPr>
          <w:r>
            <w:fldChar w:fldCharType="begin"/>
          </w:r>
          <w:r>
            <w:instrText xml:space="preserve"> HYPERLINK \l "_Toc184200413" </w:instrText>
          </w:r>
          <w:r>
            <w:fldChar w:fldCharType="separate"/>
          </w:r>
          <w:r>
            <w:rPr>
              <w:rStyle w:val="13"/>
              <w:rFonts w:ascii="仿宋_GB2312" w:eastAsia="仿宋_GB2312"/>
            </w:rPr>
            <w:t>附表4：重点尾矿库超标数据一览表</w:t>
          </w:r>
          <w:r>
            <w:tab/>
          </w:r>
          <w:r>
            <w:fldChar w:fldCharType="begin"/>
          </w:r>
          <w:r>
            <w:instrText xml:space="preserve"> PAGEREF _Toc184200413 \h </w:instrText>
          </w:r>
          <w:r>
            <w:fldChar w:fldCharType="separate"/>
          </w:r>
          <w:r>
            <w:t>8</w:t>
          </w:r>
          <w:r>
            <w:fldChar w:fldCharType="end"/>
          </w:r>
          <w:r>
            <w:fldChar w:fldCharType="end"/>
          </w:r>
        </w:p>
        <w:p w14:paraId="1A6BDBEE">
          <w:pPr>
            <w:pStyle w:val="8"/>
            <w:tabs>
              <w:tab w:val="right" w:leader="dot" w:pos="8296"/>
            </w:tabs>
            <w:rPr>
              <w:kern w:val="2"/>
              <w:sz w:val="21"/>
            </w:rPr>
          </w:pPr>
          <w:r>
            <w:fldChar w:fldCharType="begin"/>
          </w:r>
          <w:r>
            <w:instrText xml:space="preserve"> HYPERLINK \l "_Toc184200414" </w:instrText>
          </w:r>
          <w:r>
            <w:fldChar w:fldCharType="separate"/>
          </w:r>
          <w:r>
            <w:rPr>
              <w:rStyle w:val="13"/>
              <w:rFonts w:ascii="仿宋_GB2312" w:eastAsia="仿宋_GB2312"/>
            </w:rPr>
            <w:t>附表5：磷石膏库（堆场）监测数据一览表</w:t>
          </w:r>
          <w:r>
            <w:tab/>
          </w:r>
          <w:r>
            <w:fldChar w:fldCharType="begin"/>
          </w:r>
          <w:r>
            <w:instrText xml:space="preserve"> PAGEREF _Toc184200414 \h </w:instrText>
          </w:r>
          <w:r>
            <w:fldChar w:fldCharType="separate"/>
          </w:r>
          <w:r>
            <w:t>8</w:t>
          </w:r>
          <w:r>
            <w:fldChar w:fldCharType="end"/>
          </w:r>
          <w:r>
            <w:fldChar w:fldCharType="end"/>
          </w:r>
        </w:p>
        <w:p w14:paraId="70BE78EB">
          <w:pPr>
            <w:pStyle w:val="8"/>
            <w:tabs>
              <w:tab w:val="right" w:leader="dot" w:pos="8296"/>
            </w:tabs>
            <w:rPr>
              <w:kern w:val="2"/>
              <w:sz w:val="21"/>
            </w:rPr>
          </w:pPr>
          <w:r>
            <w:fldChar w:fldCharType="begin"/>
          </w:r>
          <w:r>
            <w:instrText xml:space="preserve"> HYPERLINK \l "_Toc184200415" </w:instrText>
          </w:r>
          <w:r>
            <w:fldChar w:fldCharType="separate"/>
          </w:r>
          <w:r>
            <w:rPr>
              <w:rStyle w:val="13"/>
              <w:rFonts w:ascii="仿宋_GB2312" w:eastAsia="仿宋_GB2312"/>
            </w:rPr>
            <w:t>附表6：磷石膏库（堆场）超标数据一览表</w:t>
          </w:r>
          <w:r>
            <w:tab/>
          </w:r>
          <w:r>
            <w:fldChar w:fldCharType="begin"/>
          </w:r>
          <w:r>
            <w:instrText xml:space="preserve"> PAGEREF _Toc184200415 \h </w:instrText>
          </w:r>
          <w:r>
            <w:fldChar w:fldCharType="separate"/>
          </w:r>
          <w:r>
            <w:t>8</w:t>
          </w:r>
          <w:r>
            <w:fldChar w:fldCharType="end"/>
          </w:r>
          <w:r>
            <w:fldChar w:fldCharType="end"/>
          </w:r>
        </w:p>
        <w:p w14:paraId="0DF9069A">
          <w:pPr>
            <w:pStyle w:val="8"/>
            <w:tabs>
              <w:tab w:val="right" w:leader="dot" w:pos="8296"/>
            </w:tabs>
            <w:rPr>
              <w:kern w:val="2"/>
              <w:sz w:val="21"/>
            </w:rPr>
          </w:pPr>
          <w:r>
            <w:fldChar w:fldCharType="begin"/>
          </w:r>
          <w:r>
            <w:instrText xml:space="preserve"> HYPERLINK \l "_Toc184200416" </w:instrText>
          </w:r>
          <w:r>
            <w:fldChar w:fldCharType="separate"/>
          </w:r>
          <w:r>
            <w:rPr>
              <w:rStyle w:val="13"/>
              <w:rFonts w:ascii="仿宋_GB2312" w:eastAsia="仿宋_GB2312"/>
            </w:rPr>
            <w:t>附表7：涉重行业企业监测数据一览表</w:t>
          </w:r>
          <w:r>
            <w:tab/>
          </w:r>
          <w:r>
            <w:fldChar w:fldCharType="begin"/>
          </w:r>
          <w:r>
            <w:instrText xml:space="preserve"> PAGEREF _Toc184200416 \h </w:instrText>
          </w:r>
          <w:r>
            <w:fldChar w:fldCharType="separate"/>
          </w:r>
          <w:r>
            <w:t>8</w:t>
          </w:r>
          <w:r>
            <w:fldChar w:fldCharType="end"/>
          </w:r>
          <w:r>
            <w:fldChar w:fldCharType="end"/>
          </w:r>
        </w:p>
        <w:p w14:paraId="6FC1780B">
          <w:pPr>
            <w:pStyle w:val="8"/>
            <w:tabs>
              <w:tab w:val="right" w:leader="dot" w:pos="8296"/>
            </w:tabs>
            <w:rPr>
              <w:kern w:val="2"/>
              <w:sz w:val="21"/>
            </w:rPr>
          </w:pPr>
          <w:r>
            <w:fldChar w:fldCharType="begin"/>
          </w:r>
          <w:r>
            <w:instrText xml:space="preserve"> HYPERLINK \l "_Toc184200417" </w:instrText>
          </w:r>
          <w:r>
            <w:fldChar w:fldCharType="separate"/>
          </w:r>
          <w:r>
            <w:rPr>
              <w:rStyle w:val="13"/>
              <w:rFonts w:ascii="仿宋_GB2312" w:eastAsia="仿宋_GB2312"/>
            </w:rPr>
            <w:t>附表8：涉重行业企业超标数据一览表</w:t>
          </w:r>
          <w:r>
            <w:tab/>
          </w:r>
          <w:r>
            <w:fldChar w:fldCharType="begin"/>
          </w:r>
          <w:r>
            <w:instrText xml:space="preserve"> PAGEREF _Toc184200417 \h </w:instrText>
          </w:r>
          <w:r>
            <w:fldChar w:fldCharType="separate"/>
          </w:r>
          <w:r>
            <w:t>8</w:t>
          </w:r>
          <w:r>
            <w:fldChar w:fldCharType="end"/>
          </w:r>
          <w:r>
            <w:fldChar w:fldCharType="end"/>
          </w:r>
        </w:p>
        <w:p w14:paraId="3F0FC063">
          <w:pPr>
            <w:pStyle w:val="8"/>
            <w:tabs>
              <w:tab w:val="right" w:leader="dot" w:pos="8296"/>
            </w:tabs>
            <w:rPr>
              <w:kern w:val="2"/>
              <w:sz w:val="21"/>
            </w:rPr>
          </w:pPr>
          <w:r>
            <w:fldChar w:fldCharType="begin"/>
          </w:r>
          <w:r>
            <w:instrText xml:space="preserve"> HYPERLINK \l "_Toc184200418" </w:instrText>
          </w:r>
          <w:r>
            <w:fldChar w:fldCharType="separate"/>
          </w:r>
          <w:r>
            <w:rPr>
              <w:rStyle w:val="13"/>
              <w:rFonts w:ascii="仿宋_GB2312" w:eastAsia="仿宋_GB2312"/>
            </w:rPr>
            <w:t>附表9：其他排污单位监测数据一览表</w:t>
          </w:r>
          <w:r>
            <w:tab/>
          </w:r>
          <w:r>
            <w:fldChar w:fldCharType="begin"/>
          </w:r>
          <w:r>
            <w:instrText xml:space="preserve"> PAGEREF _Toc184200418 \h </w:instrText>
          </w:r>
          <w:r>
            <w:fldChar w:fldCharType="separate"/>
          </w:r>
          <w:r>
            <w:t>8</w:t>
          </w:r>
          <w:r>
            <w:fldChar w:fldCharType="end"/>
          </w:r>
          <w:r>
            <w:fldChar w:fldCharType="end"/>
          </w:r>
        </w:p>
        <w:p w14:paraId="0AE77BF5">
          <w:pPr>
            <w:pStyle w:val="8"/>
            <w:tabs>
              <w:tab w:val="right" w:leader="dot" w:pos="8296"/>
            </w:tabs>
            <w:rPr>
              <w:kern w:val="2"/>
              <w:sz w:val="21"/>
            </w:rPr>
          </w:pPr>
          <w:r>
            <w:fldChar w:fldCharType="begin"/>
          </w:r>
          <w:r>
            <w:instrText xml:space="preserve"> HYPERLINK \l "_Toc184200419" </w:instrText>
          </w:r>
          <w:r>
            <w:fldChar w:fldCharType="separate"/>
          </w:r>
          <w:r>
            <w:rPr>
              <w:rStyle w:val="13"/>
              <w:rFonts w:ascii="仿宋_GB2312" w:eastAsia="仿宋_GB2312"/>
            </w:rPr>
            <w:t>附表10：其他排污单位超标数据一览表</w:t>
          </w:r>
          <w:r>
            <w:tab/>
          </w:r>
          <w:r>
            <w:fldChar w:fldCharType="begin"/>
          </w:r>
          <w:r>
            <w:instrText xml:space="preserve"> PAGEREF _Toc184200419 \h </w:instrText>
          </w:r>
          <w:r>
            <w:fldChar w:fldCharType="separate"/>
          </w:r>
          <w:r>
            <w:t>8</w:t>
          </w:r>
          <w:r>
            <w:fldChar w:fldCharType="end"/>
          </w:r>
          <w:r>
            <w:fldChar w:fldCharType="end"/>
          </w:r>
        </w:p>
        <w:p w14:paraId="2FBBE54C">
          <w:pPr>
            <w:tabs>
              <w:tab w:val="right" w:leader="dot" w:pos="8306"/>
            </w:tabs>
            <w:spacing w:line="420" w:lineRule="auto"/>
            <w:ind w:firstLine="420" w:firstLineChars="200"/>
            <w:jc w:val="center"/>
            <w:rPr>
              <w:rFonts w:ascii="仿宋_GB2312" w:hAnsi="仿宋_GB2312" w:eastAsia="仿宋_GB2312" w:cs="仿宋_GB2312"/>
              <w:bCs/>
              <w:sz w:val="28"/>
              <w:szCs w:val="28"/>
            </w:rPr>
            <w:sectPr>
              <w:pgSz w:w="11906" w:h="16838"/>
              <w:pgMar w:top="1440" w:right="1800" w:bottom="1440" w:left="1800" w:header="851" w:footer="992" w:gutter="0"/>
              <w:pgNumType w:start="1"/>
              <w:cols w:space="425" w:num="1"/>
              <w:docGrid w:type="lines" w:linePitch="312" w:charSpace="0"/>
            </w:sectPr>
          </w:pPr>
          <w:r>
            <w:fldChar w:fldCharType="end"/>
          </w:r>
        </w:p>
      </w:sdtContent>
    </w:sdt>
    <w:p w14:paraId="0F1D53DD">
      <w:pPr>
        <w:spacing w:before="156" w:beforeLines="50"/>
        <w:ind w:firstLine="640" w:firstLineChars="200"/>
        <w:outlineLvl w:val="0"/>
        <w:rPr>
          <w:rFonts w:ascii="黑体" w:hAnsi="黑体" w:eastAsia="黑体"/>
          <w:sz w:val="32"/>
          <w:szCs w:val="32"/>
        </w:rPr>
      </w:pPr>
      <w:bookmarkStart w:id="5" w:name="_Toc184200385"/>
      <w:r>
        <w:rPr>
          <w:rFonts w:hint="eastAsia" w:ascii="黑体" w:hAnsi="黑体" w:eastAsia="黑体"/>
          <w:sz w:val="32"/>
          <w:szCs w:val="32"/>
        </w:rPr>
        <w:t>一</w:t>
      </w:r>
      <w:r>
        <w:rPr>
          <w:rFonts w:ascii="黑体" w:hAnsi="黑体" w:eastAsia="黑体"/>
          <w:sz w:val="32"/>
          <w:szCs w:val="32"/>
        </w:rPr>
        <w:t>、监测要求</w:t>
      </w:r>
      <w:bookmarkEnd w:id="5"/>
    </w:p>
    <w:p w14:paraId="6215FCD0">
      <w:pPr>
        <w:ind w:firstLine="640" w:firstLineChars="200"/>
        <w:outlineLvl w:val="1"/>
        <w:rPr>
          <w:rFonts w:ascii="楷体_GB2312" w:hAnsi="宋体" w:eastAsia="楷体_GB2312"/>
          <w:sz w:val="32"/>
          <w:szCs w:val="32"/>
        </w:rPr>
      </w:pPr>
      <w:bookmarkStart w:id="6" w:name="_Toc184200386"/>
      <w:bookmarkStart w:id="7" w:name="_Toc17898022"/>
      <w:r>
        <w:rPr>
          <w:rFonts w:hint="eastAsia" w:ascii="楷体_GB2312" w:eastAsia="楷体_GB2312"/>
          <w:sz w:val="32"/>
          <w:szCs w:val="32"/>
        </w:rPr>
        <w:t>（一）</w:t>
      </w:r>
      <w:r>
        <w:rPr>
          <w:rFonts w:ascii="楷体_GB2312" w:hAnsi="宋体" w:eastAsia="楷体_GB2312"/>
          <w:sz w:val="32"/>
          <w:szCs w:val="32"/>
        </w:rPr>
        <w:t>监测范围</w:t>
      </w:r>
      <w:bookmarkEnd w:id="6"/>
      <w:bookmarkEnd w:id="7"/>
    </w:p>
    <w:p w14:paraId="4CA01882">
      <w:pPr>
        <w:pStyle w:val="10"/>
        <w:shd w:val="clear" w:color="auto" w:fill="FFFFFF"/>
        <w:spacing w:before="0" w:beforeAutospacing="0" w:after="0" w:afterAutospacing="0"/>
        <w:ind w:firstLine="480"/>
        <w:rPr>
          <w:rFonts w:hint="default" w:ascii="仿宋_GB2312" w:eastAsia="仿宋_GB2312" w:hAnsiTheme="minorHAnsi" w:cstheme="minorBidi"/>
          <w:kern w:val="2"/>
          <w:sz w:val="32"/>
          <w:szCs w:val="32"/>
          <w:lang w:val="en-US" w:eastAsia="zh-CN" w:bidi="ar-SA"/>
        </w:rPr>
      </w:pPr>
      <w:bookmarkStart w:id="8" w:name="_Toc184200387"/>
      <w:bookmarkStart w:id="9" w:name="_Toc17898023"/>
      <w:r>
        <w:rPr>
          <w:rFonts w:hint="eastAsia" w:ascii="仿宋_GB2312" w:eastAsia="仿宋_GB2312" w:hAnsiTheme="minorHAnsi" w:cstheme="minorBidi"/>
          <w:kern w:val="2"/>
          <w:sz w:val="32"/>
          <w:szCs w:val="32"/>
          <w:lang w:val="en-US" w:eastAsia="zh-CN" w:bidi="ar-SA"/>
        </w:rPr>
        <w:t>根据《2024年湖北省生态环境监测方案》、《2024年全省固定污染源监测有关工作方案的通知》、《随州市2024年生态环境监测工作要点及任务清单》、《随州市重点排污单位执法监测和自行监测抽查专项行动工作方案》等3个工作方案相关要求，对《随州市2024年度环境监管重点单位名录》中的企业进行监督性监测。</w:t>
      </w:r>
    </w:p>
    <w:p w14:paraId="466313E4">
      <w:pPr>
        <w:ind w:firstLine="640" w:firstLineChars="200"/>
        <w:outlineLvl w:val="1"/>
        <w:rPr>
          <w:rFonts w:ascii="楷体_GB2312" w:eastAsia="楷体_GB2312"/>
          <w:sz w:val="32"/>
          <w:szCs w:val="32"/>
        </w:rPr>
      </w:pPr>
      <w:r>
        <w:rPr>
          <w:rFonts w:hint="eastAsia" w:ascii="楷体_GB2312" w:eastAsia="楷体_GB2312"/>
          <w:sz w:val="32"/>
          <w:szCs w:val="32"/>
        </w:rPr>
        <w:t>（二）</w:t>
      </w:r>
      <w:r>
        <w:rPr>
          <w:rFonts w:ascii="楷体_GB2312" w:eastAsia="楷体_GB2312"/>
          <w:sz w:val="32"/>
          <w:szCs w:val="32"/>
        </w:rPr>
        <w:t>监测项目</w:t>
      </w:r>
      <w:bookmarkEnd w:id="8"/>
      <w:bookmarkEnd w:id="9"/>
    </w:p>
    <w:p w14:paraId="18BB69EE">
      <w:pPr>
        <w:ind w:firstLine="964" w:firstLineChars="300"/>
        <w:rPr>
          <w:rFonts w:ascii="仿宋" w:hAnsi="仿宋" w:eastAsia="仿宋"/>
          <w:b/>
          <w:sz w:val="32"/>
          <w:szCs w:val="32"/>
        </w:rPr>
      </w:pPr>
      <w:bookmarkStart w:id="10" w:name="_Toc3021"/>
      <w:bookmarkStart w:id="11" w:name="_Toc345070794"/>
      <w:bookmarkStart w:id="12" w:name="_Toc345071214"/>
      <w:r>
        <w:rPr>
          <w:rFonts w:ascii="仿宋" w:hAnsi="仿宋" w:eastAsia="仿宋"/>
          <w:b/>
          <w:sz w:val="32"/>
          <w:szCs w:val="32"/>
        </w:rPr>
        <w:t>1.</w:t>
      </w:r>
      <w:r>
        <w:rPr>
          <w:rFonts w:hint="eastAsia" w:ascii="仿宋" w:hAnsi="仿宋" w:eastAsia="仿宋"/>
          <w:b/>
          <w:sz w:val="32"/>
          <w:szCs w:val="32"/>
        </w:rPr>
        <w:t>入河排污口监测</w:t>
      </w:r>
    </w:p>
    <w:p w14:paraId="3180852A">
      <w:pPr>
        <w:pStyle w:val="10"/>
        <w:shd w:val="clear" w:color="auto" w:fill="FFFFFF"/>
        <w:spacing w:before="0" w:beforeAutospacing="0" w:after="0" w:afterAutospacing="0"/>
        <w:ind w:firstLine="480"/>
        <w:rPr>
          <w:rFonts w:hint="eastAsia" w:ascii="仿宋_GB2312" w:eastAsia="仿宋_GB2312" w:hAnsiTheme="minorHAnsi" w:cstheme="minorBidi"/>
          <w:kern w:val="2"/>
          <w:sz w:val="32"/>
          <w:szCs w:val="32"/>
          <w:lang w:val="en-US" w:eastAsia="zh-CN" w:bidi="ar-SA"/>
        </w:rPr>
      </w:pPr>
      <w:r>
        <w:rPr>
          <w:rFonts w:hint="eastAsia" w:ascii="仿宋_GB2312" w:eastAsia="仿宋_GB2312" w:hAnsiTheme="minorHAnsi" w:cstheme="minorBidi"/>
          <w:kern w:val="2"/>
          <w:sz w:val="32"/>
          <w:szCs w:val="32"/>
          <w:lang w:val="en-US" w:eastAsia="zh-CN" w:bidi="ar-SA"/>
        </w:rPr>
        <w:t>应监测pH、化学需氧量、氨氮、总磷和总氮五项基本项目，选测其他特征项目。</w:t>
      </w:r>
    </w:p>
    <w:p w14:paraId="47211848">
      <w:pPr>
        <w:ind w:firstLine="964" w:firstLineChars="300"/>
        <w:rPr>
          <w:rFonts w:ascii="仿宋" w:hAnsi="仿宋" w:eastAsia="仿宋"/>
          <w:b/>
          <w:sz w:val="32"/>
          <w:szCs w:val="32"/>
        </w:rPr>
      </w:pPr>
      <w:r>
        <w:rPr>
          <w:rFonts w:ascii="仿宋" w:hAnsi="仿宋" w:eastAsia="仿宋"/>
          <w:b/>
          <w:sz w:val="32"/>
          <w:szCs w:val="32"/>
        </w:rPr>
        <w:t>2.</w:t>
      </w:r>
      <w:r>
        <w:rPr>
          <w:rFonts w:hint="eastAsia" w:ascii="仿宋" w:hAnsi="仿宋" w:eastAsia="仿宋"/>
          <w:b/>
          <w:sz w:val="32"/>
          <w:szCs w:val="32"/>
        </w:rPr>
        <w:t>重点尾矿库监测</w:t>
      </w:r>
    </w:p>
    <w:p w14:paraId="61163F3E">
      <w:pPr>
        <w:pStyle w:val="10"/>
        <w:shd w:val="clear" w:color="auto" w:fill="FFFFFF"/>
        <w:spacing w:before="0" w:beforeAutospacing="0" w:after="0" w:afterAutospacing="0"/>
        <w:ind w:firstLine="480"/>
        <w:rPr>
          <w:rFonts w:hint="eastAsia" w:ascii="仿宋_GB2312" w:eastAsia="仿宋_GB2312" w:hAnsiTheme="minorHAnsi" w:cstheme="minorBidi"/>
          <w:kern w:val="2"/>
          <w:sz w:val="32"/>
          <w:szCs w:val="32"/>
          <w:lang w:val="en-US" w:eastAsia="zh-CN" w:bidi="ar-SA"/>
        </w:rPr>
      </w:pPr>
      <w:r>
        <w:rPr>
          <w:rFonts w:hint="eastAsia" w:ascii="仿宋_GB2312" w:eastAsia="仿宋_GB2312" w:hAnsiTheme="minorHAnsi" w:cstheme="minorBidi"/>
          <w:kern w:val="2"/>
          <w:sz w:val="32"/>
          <w:szCs w:val="32"/>
          <w:lang w:val="en-US" w:eastAsia="zh-CN" w:bidi="ar-SA"/>
        </w:rPr>
        <w:t>尾矿库尾水监测pH、化学需氧量。涉金属矿的尾矿库，属于铅、锌工业的，或锡、锑、汞工业的，或硫酸工业(硫铁矿制酸工艺)的，尾水增加监测总铜、总铅、总锌、总铬、总镍、总汞、总镉、总砷、总铊等项目，可选测铁、锰、硒、钒、钼等特征指标1-2项。</w:t>
      </w:r>
    </w:p>
    <w:p w14:paraId="6C311B99">
      <w:pPr>
        <w:ind w:firstLine="964" w:firstLineChars="300"/>
        <w:rPr>
          <w:rFonts w:ascii="仿宋" w:hAnsi="仿宋" w:eastAsia="仿宋"/>
          <w:b/>
          <w:sz w:val="32"/>
          <w:szCs w:val="32"/>
        </w:rPr>
      </w:pPr>
      <w:r>
        <w:rPr>
          <w:rFonts w:ascii="仿宋" w:hAnsi="仿宋" w:eastAsia="仿宋"/>
          <w:b/>
          <w:sz w:val="32"/>
          <w:szCs w:val="32"/>
        </w:rPr>
        <w:t>3.</w:t>
      </w:r>
      <w:r>
        <w:rPr>
          <w:rFonts w:hint="eastAsia" w:ascii="仿宋" w:hAnsi="仿宋" w:eastAsia="仿宋"/>
          <w:b/>
          <w:sz w:val="32"/>
          <w:szCs w:val="32"/>
        </w:rPr>
        <w:t>磷石膏库（堆场）监测</w:t>
      </w:r>
    </w:p>
    <w:bookmarkEnd w:id="10"/>
    <w:p w14:paraId="340757C3">
      <w:pPr>
        <w:pStyle w:val="10"/>
        <w:shd w:val="clear" w:color="auto" w:fill="FFFFFF"/>
        <w:spacing w:before="0" w:beforeAutospacing="0" w:after="0" w:afterAutospacing="0"/>
        <w:ind w:firstLine="480"/>
        <w:rPr>
          <w:rFonts w:hint="eastAsia" w:ascii="仿宋_GB2312" w:eastAsia="仿宋_GB2312" w:hAnsiTheme="minorHAnsi" w:cstheme="minorBidi"/>
          <w:kern w:val="2"/>
          <w:sz w:val="32"/>
          <w:szCs w:val="32"/>
          <w:lang w:val="en-US" w:eastAsia="zh-CN" w:bidi="ar-SA"/>
        </w:rPr>
      </w:pPr>
      <w:bookmarkStart w:id="13" w:name="_Toc17898024"/>
      <w:r>
        <w:rPr>
          <w:rFonts w:hint="eastAsia" w:ascii="仿宋_GB2312" w:eastAsia="仿宋_GB2312" w:hAnsiTheme="minorHAnsi" w:cstheme="minorBidi"/>
          <w:kern w:val="2"/>
          <w:sz w:val="32"/>
          <w:szCs w:val="32"/>
          <w:lang w:val="en-US" w:eastAsia="zh-CN" w:bidi="ar-SA"/>
        </w:rPr>
        <w:t>磷石膏尾矿库尾水要增加总磷、总铊和氟化物的监测。污水受纳水体下游断面监测指标设置与尾水监测点位相同。</w:t>
      </w:r>
    </w:p>
    <w:p w14:paraId="57C44D29">
      <w:pPr>
        <w:ind w:firstLine="964" w:firstLineChars="300"/>
        <w:rPr>
          <w:rFonts w:ascii="仿宋" w:hAnsi="仿宋" w:eastAsia="仿宋"/>
          <w:b/>
          <w:sz w:val="32"/>
          <w:szCs w:val="32"/>
        </w:rPr>
      </w:pPr>
      <w:r>
        <w:rPr>
          <w:rFonts w:ascii="仿宋" w:hAnsi="仿宋" w:eastAsia="仿宋"/>
          <w:b/>
          <w:sz w:val="32"/>
          <w:szCs w:val="32"/>
        </w:rPr>
        <w:t>4.</w:t>
      </w:r>
      <w:r>
        <w:rPr>
          <w:rFonts w:hint="eastAsia" w:ascii="仿宋" w:hAnsi="仿宋" w:eastAsia="仿宋"/>
          <w:b/>
          <w:sz w:val="32"/>
          <w:szCs w:val="32"/>
        </w:rPr>
        <w:t>涉重行业企业监测</w:t>
      </w:r>
    </w:p>
    <w:p w14:paraId="0D1E1082">
      <w:pPr>
        <w:pStyle w:val="10"/>
        <w:shd w:val="clear" w:color="auto" w:fill="FFFFFF"/>
        <w:spacing w:before="0" w:beforeAutospacing="0" w:after="0" w:afterAutospacing="0"/>
        <w:ind w:firstLine="480"/>
        <w:rPr>
          <w:rFonts w:hint="default" w:ascii="仿宋_GB2312" w:eastAsia="仿宋_GB2312" w:hAnsiTheme="minorHAnsi" w:cstheme="minorBidi"/>
          <w:kern w:val="2"/>
          <w:sz w:val="32"/>
          <w:szCs w:val="32"/>
          <w:lang w:val="en-US" w:eastAsia="zh-CN" w:bidi="ar-SA"/>
        </w:rPr>
      </w:pPr>
      <w:r>
        <w:rPr>
          <w:rFonts w:hint="eastAsia" w:ascii="仿宋_GB2312" w:eastAsia="仿宋_GB2312" w:hAnsiTheme="minorHAnsi" w:cstheme="minorBidi"/>
          <w:kern w:val="2"/>
          <w:sz w:val="32"/>
          <w:szCs w:val="32"/>
          <w:lang w:val="en-US" w:eastAsia="zh-CN" w:bidi="ar-SA"/>
        </w:rPr>
        <w:t>按照企业《排污许可证》设置监测项目，重金属项目必测。</w:t>
      </w:r>
    </w:p>
    <w:p w14:paraId="1E5B2A04">
      <w:pPr>
        <w:ind w:firstLine="964" w:firstLineChars="300"/>
        <w:rPr>
          <w:rFonts w:ascii="仿宋" w:hAnsi="仿宋" w:eastAsia="仿宋"/>
          <w:b/>
          <w:sz w:val="32"/>
          <w:szCs w:val="32"/>
        </w:rPr>
      </w:pPr>
      <w:r>
        <w:rPr>
          <w:rFonts w:ascii="仿宋" w:hAnsi="仿宋" w:eastAsia="仿宋"/>
          <w:b/>
          <w:sz w:val="32"/>
          <w:szCs w:val="32"/>
        </w:rPr>
        <w:t>5.</w:t>
      </w:r>
      <w:r>
        <w:rPr>
          <w:rFonts w:hint="eastAsia" w:ascii="仿宋" w:hAnsi="仿宋" w:eastAsia="仿宋"/>
          <w:b/>
          <w:sz w:val="32"/>
          <w:szCs w:val="32"/>
        </w:rPr>
        <w:t>其他排污单位监测</w:t>
      </w:r>
    </w:p>
    <w:p w14:paraId="632B5D43">
      <w:pPr>
        <w:pStyle w:val="10"/>
        <w:shd w:val="clear" w:color="auto" w:fill="FFFFFF"/>
        <w:spacing w:before="0" w:beforeAutospacing="0" w:after="0" w:afterAutospacing="0"/>
        <w:ind w:firstLine="480"/>
        <w:rPr>
          <w:rFonts w:hint="eastAsia" w:ascii="仿宋_GB2312" w:eastAsia="仿宋_GB2312" w:hAnsiTheme="minorHAnsi" w:cstheme="minorBidi"/>
          <w:kern w:val="2"/>
          <w:sz w:val="32"/>
          <w:szCs w:val="32"/>
          <w:lang w:val="en-US" w:eastAsia="zh-CN" w:bidi="ar-SA"/>
        </w:rPr>
      </w:pPr>
      <w:bookmarkStart w:id="14" w:name="_Toc184200388"/>
      <w:r>
        <w:rPr>
          <w:rFonts w:hint="eastAsia" w:ascii="仿宋_GB2312" w:eastAsia="仿宋_GB2312" w:hAnsiTheme="minorHAnsi" w:cstheme="minorBidi"/>
          <w:kern w:val="2"/>
          <w:sz w:val="32"/>
          <w:szCs w:val="32"/>
          <w:lang w:val="en-US" w:eastAsia="zh-CN" w:bidi="ar-SA"/>
        </w:rPr>
        <w:t>按照企业《排污许可证》设置监测项目。涉废气VOCs排放企业，监测非甲烷总烃、挥发性有机物、苯、甲苯、二甲苯或TVOC等项目。可按照《关于加强挥发性有机物监测工作的通知》(环办监测函〔2020〕335号)，并依据已出台的VOCs国家和湖北省地方标准设置监测项目。</w:t>
      </w:r>
    </w:p>
    <w:p w14:paraId="0EB059EB">
      <w:pPr>
        <w:ind w:firstLine="640" w:firstLineChars="200"/>
        <w:outlineLvl w:val="1"/>
        <w:rPr>
          <w:rFonts w:ascii="楷体_GB2312" w:eastAsia="楷体_GB2312"/>
          <w:sz w:val="32"/>
          <w:szCs w:val="32"/>
        </w:rPr>
      </w:pPr>
      <w:r>
        <w:rPr>
          <w:rFonts w:hint="eastAsia" w:ascii="楷体_GB2312" w:eastAsia="楷体_GB2312"/>
          <w:sz w:val="32"/>
          <w:szCs w:val="32"/>
        </w:rPr>
        <w:t>（三）</w:t>
      </w:r>
      <w:r>
        <w:rPr>
          <w:rFonts w:ascii="楷体_GB2312" w:eastAsia="楷体_GB2312"/>
          <w:sz w:val="32"/>
          <w:szCs w:val="32"/>
        </w:rPr>
        <w:t>监测时间和频次</w:t>
      </w:r>
      <w:bookmarkEnd w:id="11"/>
      <w:bookmarkEnd w:id="12"/>
      <w:bookmarkEnd w:id="13"/>
      <w:bookmarkEnd w:id="14"/>
    </w:p>
    <w:p w14:paraId="5D621810">
      <w:pPr>
        <w:pStyle w:val="10"/>
        <w:shd w:val="clear" w:color="auto" w:fill="FFFFFF"/>
        <w:spacing w:before="0" w:beforeAutospacing="0" w:after="0" w:afterAutospacing="0"/>
        <w:ind w:firstLine="480"/>
        <w:rPr>
          <w:rFonts w:hint="eastAsia" w:ascii="仿宋_GB2312" w:eastAsia="仿宋_GB2312" w:hAnsiTheme="minorHAnsi" w:cstheme="minorBidi"/>
          <w:kern w:val="2"/>
          <w:sz w:val="32"/>
          <w:szCs w:val="32"/>
          <w:lang w:val="en-US" w:eastAsia="zh-CN" w:bidi="ar-SA"/>
        </w:rPr>
      </w:pPr>
      <w:bookmarkStart w:id="15" w:name="_Toc17898025"/>
      <w:bookmarkStart w:id="16" w:name="_Toc184200389"/>
      <w:r>
        <w:rPr>
          <w:rFonts w:hint="eastAsia" w:ascii="仿宋_GB2312" w:eastAsia="仿宋_GB2312" w:hAnsiTheme="minorHAnsi" w:cstheme="minorBidi"/>
          <w:kern w:val="2"/>
          <w:sz w:val="32"/>
          <w:szCs w:val="32"/>
          <w:lang w:val="en-US" w:eastAsia="zh-CN" w:bidi="ar-SA"/>
        </w:rPr>
        <w:t>每个排污单位至少监测1次/年，监测超标的排污单位，可适当增加监测频次。</w:t>
      </w:r>
    </w:p>
    <w:p w14:paraId="59CAB549">
      <w:pPr>
        <w:ind w:firstLine="640" w:firstLineChars="200"/>
        <w:outlineLvl w:val="1"/>
        <w:rPr>
          <w:rFonts w:ascii="楷体_GB2312" w:eastAsia="楷体_GB2312"/>
          <w:sz w:val="32"/>
          <w:szCs w:val="32"/>
        </w:rPr>
      </w:pPr>
      <w:r>
        <w:rPr>
          <w:rFonts w:hint="eastAsia" w:ascii="楷体_GB2312" w:eastAsia="楷体_GB2312"/>
          <w:sz w:val="32"/>
          <w:szCs w:val="32"/>
        </w:rPr>
        <w:t>（四）</w:t>
      </w:r>
      <w:r>
        <w:rPr>
          <w:rFonts w:ascii="楷体_GB2312" w:eastAsia="楷体_GB2312"/>
          <w:sz w:val="32"/>
          <w:szCs w:val="32"/>
        </w:rPr>
        <w:t>评价方法和标准</w:t>
      </w:r>
      <w:bookmarkEnd w:id="15"/>
      <w:bookmarkEnd w:id="16"/>
    </w:p>
    <w:p w14:paraId="64356D34">
      <w:pPr>
        <w:pStyle w:val="10"/>
        <w:shd w:val="clear" w:color="auto" w:fill="FFFFFF"/>
        <w:spacing w:before="0" w:beforeAutospacing="0" w:after="0" w:afterAutospacing="0"/>
        <w:ind w:firstLine="480"/>
        <w:rPr>
          <w:rFonts w:hint="eastAsia" w:ascii="仿宋_GB2312" w:eastAsia="仿宋_GB2312" w:hAnsiTheme="minorHAnsi" w:cstheme="minorBidi"/>
          <w:kern w:val="2"/>
          <w:sz w:val="32"/>
          <w:szCs w:val="32"/>
          <w:lang w:val="en-US" w:eastAsia="zh-CN" w:bidi="ar-SA"/>
        </w:rPr>
      </w:pPr>
      <w:bookmarkStart w:id="17" w:name="_Toc1521"/>
      <w:bookmarkStart w:id="18" w:name="_Toc184200390"/>
      <w:r>
        <w:rPr>
          <w:rFonts w:hint="eastAsia" w:ascii="仿宋_GB2312" w:eastAsia="仿宋_GB2312" w:hAnsiTheme="minorHAnsi" w:cstheme="minorBidi"/>
          <w:kern w:val="2"/>
          <w:sz w:val="32"/>
          <w:szCs w:val="32"/>
          <w:lang w:val="en-US" w:eastAsia="zh-CN" w:bidi="ar-SA"/>
        </w:rPr>
        <w:t>按《排污许可证》确定评价标准。重点尾矿库尾水不外排的，不作评价;下游断面水质执行受纳水体的环境质量标准。在线设备的盲样考核和比对监测，按固定污染源烟气排放连续监测技术规范、水污染源在线监测系统运行技术规范等标准进行评价。</w:t>
      </w:r>
      <w:bookmarkEnd w:id="17"/>
    </w:p>
    <w:p w14:paraId="45B400ED">
      <w:pPr>
        <w:spacing w:before="156" w:beforeLines="50"/>
        <w:ind w:firstLine="640" w:firstLineChars="200"/>
        <w:outlineLvl w:val="0"/>
        <w:rPr>
          <w:rFonts w:ascii="黑体" w:hAnsi="黑体" w:eastAsia="黑体"/>
          <w:sz w:val="32"/>
          <w:szCs w:val="32"/>
        </w:rPr>
      </w:pPr>
      <w:r>
        <w:rPr>
          <w:rFonts w:hint="eastAsia" w:ascii="黑体" w:hAnsi="黑体" w:eastAsia="黑体"/>
          <w:sz w:val="32"/>
          <w:szCs w:val="32"/>
        </w:rPr>
        <w:t>二、总体情况</w:t>
      </w:r>
      <w:bookmarkEnd w:id="18"/>
    </w:p>
    <w:p w14:paraId="38725427">
      <w:pPr>
        <w:pStyle w:val="10"/>
        <w:shd w:val="clear" w:color="auto" w:fill="FFFFFF"/>
        <w:spacing w:before="0" w:beforeAutospacing="0" w:after="0" w:afterAutospacing="0"/>
        <w:ind w:firstLine="480"/>
        <w:rPr>
          <w:rFonts w:hint="eastAsia" w:ascii="仿宋_GB2312" w:eastAsia="仿宋_GB2312" w:hAnsiTheme="minorHAnsi" w:cstheme="minorBidi"/>
          <w:kern w:val="2"/>
          <w:sz w:val="32"/>
          <w:szCs w:val="32"/>
          <w:lang w:val="en-US" w:eastAsia="zh-CN" w:bidi="ar-SA"/>
        </w:rPr>
      </w:pPr>
      <w:bookmarkStart w:id="19" w:name="_Toc184200391"/>
      <w:r>
        <w:rPr>
          <w:rFonts w:hint="eastAsia" w:ascii="仿宋_GB2312" w:eastAsia="仿宋_GB2312" w:hAnsiTheme="minorHAnsi" w:cstheme="minorBidi"/>
          <w:kern w:val="2"/>
          <w:sz w:val="32"/>
          <w:szCs w:val="32"/>
          <w:lang w:val="en-US" w:eastAsia="zh-CN" w:bidi="ar-SA"/>
        </w:rPr>
        <w:t>2024年，随州市核发排污许可证的单位共586家，其中环境监管重点单位115家。截至2024年底，我市对其中51家重点管理单位进行了监督性监测，占全市发证企业的8.7%，占全市重点管理企业的44.3%。</w:t>
      </w:r>
    </w:p>
    <w:p w14:paraId="1FAD47E8">
      <w:pPr>
        <w:pStyle w:val="10"/>
        <w:shd w:val="clear" w:color="auto" w:fill="FFFFFF"/>
        <w:spacing w:before="0" w:beforeAutospacing="0" w:after="0" w:afterAutospacing="0"/>
        <w:ind w:firstLine="480"/>
        <w:rPr>
          <w:rFonts w:hint="default" w:ascii="仿宋_GB2312" w:eastAsia="仿宋_GB2312" w:hAnsiTheme="minorHAnsi" w:cstheme="minorBidi"/>
          <w:kern w:val="2"/>
          <w:sz w:val="32"/>
          <w:szCs w:val="32"/>
          <w:lang w:val="en-US" w:eastAsia="zh-CN" w:bidi="ar-SA"/>
        </w:rPr>
      </w:pPr>
      <w:r>
        <w:rPr>
          <w:rFonts w:hint="eastAsia" w:ascii="仿宋_GB2312" w:eastAsia="仿宋_GB2312" w:hAnsiTheme="minorHAnsi" w:cstheme="minorBidi"/>
          <w:kern w:val="2"/>
          <w:sz w:val="32"/>
          <w:szCs w:val="32"/>
          <w:lang w:val="en-US" w:eastAsia="zh-CN" w:bidi="ar-SA"/>
        </w:rPr>
        <w:t>重点尾矿库监测2家，超标0家，超标率0%；涉重企业监测4家，超标0家，超标率0%；其他类型排污单位监测45家，超标2家，超标率4.4%。</w:t>
      </w:r>
    </w:p>
    <w:p w14:paraId="259D5946">
      <w:pPr>
        <w:spacing w:before="156" w:beforeLines="50"/>
        <w:ind w:firstLine="640" w:firstLineChars="200"/>
        <w:outlineLvl w:val="0"/>
        <w:rPr>
          <w:rFonts w:ascii="黑体" w:hAnsi="黑体" w:eastAsia="黑体"/>
          <w:sz w:val="32"/>
          <w:szCs w:val="32"/>
        </w:rPr>
      </w:pPr>
      <w:r>
        <w:rPr>
          <w:rFonts w:hint="eastAsia" w:ascii="黑体" w:hAnsi="黑体" w:eastAsia="黑体"/>
          <w:sz w:val="32"/>
          <w:szCs w:val="32"/>
        </w:rPr>
        <w:t>三、入河排污口监测</w:t>
      </w:r>
      <w:r>
        <w:rPr>
          <w:rFonts w:ascii="黑体" w:hAnsi="黑体" w:eastAsia="黑体"/>
          <w:sz w:val="32"/>
          <w:szCs w:val="32"/>
        </w:rPr>
        <w:t>情况</w:t>
      </w:r>
      <w:bookmarkEnd w:id="19"/>
    </w:p>
    <w:p w14:paraId="2B3D0E7C">
      <w:pPr>
        <w:ind w:firstLine="480" w:firstLineChars="150"/>
        <w:outlineLvl w:val="1"/>
        <w:rPr>
          <w:rFonts w:ascii="楷体_GB2312" w:eastAsia="楷体_GB2312"/>
          <w:sz w:val="32"/>
          <w:szCs w:val="32"/>
        </w:rPr>
      </w:pPr>
      <w:bookmarkStart w:id="20" w:name="_Toc184200392"/>
      <w:r>
        <w:rPr>
          <w:rFonts w:hint="eastAsia" w:ascii="楷体_GB2312" w:eastAsia="楷体_GB2312"/>
          <w:sz w:val="32"/>
          <w:szCs w:val="32"/>
        </w:rPr>
        <w:t>（一）监测情况</w:t>
      </w:r>
      <w:bookmarkEnd w:id="20"/>
    </w:p>
    <w:p w14:paraId="5D14E52D">
      <w:pPr>
        <w:pStyle w:val="10"/>
        <w:shd w:val="clear" w:color="auto" w:fill="FFFFFF"/>
        <w:spacing w:before="0" w:beforeAutospacing="0" w:after="0" w:afterAutospacing="0"/>
        <w:ind w:firstLine="480"/>
        <w:rPr>
          <w:rFonts w:hint="default" w:ascii="仿宋_GB2312" w:eastAsia="仿宋_GB2312" w:hAnsiTheme="minorHAnsi" w:cstheme="minorBidi"/>
          <w:kern w:val="2"/>
          <w:sz w:val="32"/>
          <w:szCs w:val="32"/>
          <w:lang w:val="en-US" w:eastAsia="zh-CN" w:bidi="ar-SA"/>
        </w:rPr>
      </w:pPr>
      <w:r>
        <w:rPr>
          <w:rFonts w:hint="eastAsia" w:ascii="仿宋_GB2312" w:eastAsia="仿宋_GB2312" w:hAnsiTheme="minorHAnsi" w:cstheme="minorBidi"/>
          <w:kern w:val="2"/>
          <w:sz w:val="32"/>
          <w:szCs w:val="32"/>
          <w:lang w:val="en-US" w:eastAsia="zh-CN" w:bidi="ar-SA"/>
        </w:rPr>
        <w:t>2024年核查随州市长江入河排污口共353个，对其中56个入河排污口进行了监测，其余297个入河排污口为雨洪排口、农田灌溉口或河水倒灌口，未监测。其中3个入河排污口超标。</w:t>
      </w:r>
    </w:p>
    <w:p w14:paraId="6494E7EA">
      <w:pPr>
        <w:spacing w:after="156" w:afterLines="50"/>
        <w:jc w:val="center"/>
        <w:rPr>
          <w:b/>
          <w:sz w:val="28"/>
        </w:rPr>
      </w:pPr>
      <w:r>
        <w:rPr>
          <w:rFonts w:hAnsi="宋体"/>
          <w:b/>
          <w:sz w:val="28"/>
        </w:rPr>
        <w:t>表</w:t>
      </w:r>
      <w:r>
        <w:rPr>
          <w:b/>
          <w:sz w:val="28"/>
        </w:rPr>
        <w:t>1</w:t>
      </w:r>
      <w:r>
        <w:rPr>
          <w:rFonts w:hint="eastAsia"/>
          <w:b/>
          <w:sz w:val="28"/>
        </w:rPr>
        <w:t xml:space="preserve">  </w:t>
      </w:r>
      <w:r>
        <w:rPr>
          <w:rFonts w:hint="eastAsia"/>
          <w:b/>
          <w:sz w:val="28"/>
          <w:lang w:val="en-US" w:eastAsia="zh-CN"/>
        </w:rPr>
        <w:t>随州</w:t>
      </w:r>
      <w:r>
        <w:rPr>
          <w:rFonts w:hint="eastAsia" w:hAnsi="宋体"/>
          <w:b/>
          <w:sz w:val="28"/>
        </w:rPr>
        <w:t>市（州）</w:t>
      </w:r>
      <w:r>
        <w:rPr>
          <w:b/>
          <w:sz w:val="28"/>
          <w:szCs w:val="32"/>
        </w:rPr>
        <w:t>入河排污口</w:t>
      </w:r>
      <w:r>
        <w:rPr>
          <w:rFonts w:hAnsi="宋体"/>
          <w:b/>
          <w:sz w:val="28"/>
        </w:rPr>
        <w:t>监测情况</w:t>
      </w:r>
    </w:p>
    <w:tbl>
      <w:tblPr>
        <w:tblStyle w:val="11"/>
        <w:tblW w:w="5000" w:type="pct"/>
        <w:tblInd w:w="0" w:type="dxa"/>
        <w:tblBorders>
          <w:top w:val="single" w:color="auto" w:sz="8" w:space="0"/>
          <w:left w:val="none" w:color="auto" w:sz="0" w:space="0"/>
          <w:bottom w:val="single" w:color="auto" w:sz="8" w:space="0"/>
          <w:right w:val="none" w:color="auto" w:sz="0" w:space="0"/>
          <w:insideH w:val="single" w:color="auto" w:sz="8" w:space="0"/>
          <w:insideV w:val="single" w:color="auto" w:sz="8" w:space="0"/>
        </w:tblBorders>
        <w:tblLayout w:type="autofit"/>
        <w:tblCellMar>
          <w:top w:w="0" w:type="dxa"/>
          <w:left w:w="108" w:type="dxa"/>
          <w:bottom w:w="0" w:type="dxa"/>
          <w:right w:w="108" w:type="dxa"/>
        </w:tblCellMar>
      </w:tblPr>
      <w:tblGrid>
        <w:gridCol w:w="780"/>
        <w:gridCol w:w="1452"/>
        <w:gridCol w:w="1418"/>
        <w:gridCol w:w="1278"/>
        <w:gridCol w:w="1399"/>
        <w:gridCol w:w="1135"/>
        <w:gridCol w:w="1060"/>
      </w:tblGrid>
      <w:tr w14:paraId="07029CA2">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568" w:hRule="atLeast"/>
          <w:tblHeader/>
        </w:trPr>
        <w:tc>
          <w:tcPr>
            <w:tcW w:w="457" w:type="pct"/>
            <w:vAlign w:val="center"/>
          </w:tcPr>
          <w:p w14:paraId="3C581846">
            <w:pPr>
              <w:widowControl/>
              <w:jc w:val="center"/>
              <w:rPr>
                <w:b/>
                <w:bCs/>
                <w:kern w:val="0"/>
                <w:sz w:val="22"/>
                <w:szCs w:val="21"/>
              </w:rPr>
            </w:pPr>
            <w:r>
              <w:rPr>
                <w:rFonts w:hint="eastAsia"/>
                <w:b/>
                <w:bCs/>
                <w:kern w:val="0"/>
                <w:sz w:val="22"/>
                <w:szCs w:val="21"/>
              </w:rPr>
              <w:t>地 市</w:t>
            </w:r>
          </w:p>
        </w:tc>
        <w:tc>
          <w:tcPr>
            <w:tcW w:w="851" w:type="pct"/>
            <w:vAlign w:val="center"/>
          </w:tcPr>
          <w:p w14:paraId="6E91EF5C">
            <w:pPr>
              <w:widowControl/>
              <w:jc w:val="center"/>
              <w:rPr>
                <w:b/>
                <w:bCs/>
                <w:kern w:val="0"/>
                <w:sz w:val="22"/>
                <w:szCs w:val="21"/>
              </w:rPr>
            </w:pPr>
            <w:r>
              <w:rPr>
                <w:rFonts w:hint="eastAsia"/>
                <w:b/>
                <w:bCs/>
                <w:kern w:val="0"/>
                <w:sz w:val="22"/>
                <w:szCs w:val="21"/>
              </w:rPr>
              <w:t>入河排污口（个）</w:t>
            </w:r>
          </w:p>
        </w:tc>
        <w:tc>
          <w:tcPr>
            <w:tcW w:w="831" w:type="pct"/>
            <w:vAlign w:val="center"/>
          </w:tcPr>
          <w:p w14:paraId="35A35D48">
            <w:pPr>
              <w:widowControl/>
              <w:jc w:val="center"/>
              <w:rPr>
                <w:b/>
                <w:bCs/>
                <w:kern w:val="0"/>
                <w:sz w:val="22"/>
                <w:szCs w:val="21"/>
              </w:rPr>
            </w:pPr>
            <w:r>
              <w:rPr>
                <w:rFonts w:hint="eastAsia"/>
                <w:b/>
                <w:bCs/>
                <w:kern w:val="0"/>
                <w:sz w:val="22"/>
                <w:szCs w:val="21"/>
              </w:rPr>
              <w:t>已</w:t>
            </w:r>
            <w:r>
              <w:rPr>
                <w:b/>
                <w:bCs/>
                <w:kern w:val="0"/>
                <w:sz w:val="22"/>
                <w:szCs w:val="21"/>
              </w:rPr>
              <w:t>监测（个）</w:t>
            </w:r>
          </w:p>
        </w:tc>
        <w:tc>
          <w:tcPr>
            <w:tcW w:w="749" w:type="pct"/>
            <w:vAlign w:val="center"/>
          </w:tcPr>
          <w:p w14:paraId="0FFB6B90">
            <w:pPr>
              <w:widowControl/>
              <w:jc w:val="center"/>
              <w:rPr>
                <w:b/>
                <w:bCs/>
                <w:kern w:val="0"/>
                <w:sz w:val="22"/>
                <w:szCs w:val="21"/>
              </w:rPr>
            </w:pPr>
            <w:r>
              <w:rPr>
                <w:rFonts w:hint="eastAsia"/>
                <w:b/>
                <w:bCs/>
                <w:kern w:val="0"/>
                <w:sz w:val="22"/>
                <w:szCs w:val="21"/>
              </w:rPr>
              <w:t>监测比例</w:t>
            </w:r>
            <w:r>
              <w:rPr>
                <w:b/>
                <w:bCs/>
                <w:kern w:val="0"/>
                <w:sz w:val="22"/>
                <w:szCs w:val="21"/>
              </w:rPr>
              <w:t>（%）</w:t>
            </w:r>
          </w:p>
        </w:tc>
        <w:tc>
          <w:tcPr>
            <w:tcW w:w="820" w:type="pct"/>
            <w:vAlign w:val="center"/>
          </w:tcPr>
          <w:p w14:paraId="574619DE">
            <w:pPr>
              <w:widowControl/>
              <w:jc w:val="center"/>
              <w:rPr>
                <w:b/>
                <w:bCs/>
                <w:kern w:val="0"/>
                <w:sz w:val="22"/>
                <w:szCs w:val="21"/>
              </w:rPr>
            </w:pPr>
            <w:r>
              <w:rPr>
                <w:b/>
                <w:bCs/>
                <w:kern w:val="0"/>
                <w:sz w:val="22"/>
                <w:szCs w:val="21"/>
              </w:rPr>
              <w:t>达标数量（个）</w:t>
            </w:r>
          </w:p>
        </w:tc>
        <w:tc>
          <w:tcPr>
            <w:tcW w:w="665" w:type="pct"/>
            <w:vAlign w:val="center"/>
          </w:tcPr>
          <w:p w14:paraId="4EE07DFA">
            <w:pPr>
              <w:widowControl/>
              <w:jc w:val="center"/>
              <w:rPr>
                <w:b/>
                <w:bCs/>
                <w:kern w:val="0"/>
                <w:sz w:val="22"/>
                <w:szCs w:val="21"/>
              </w:rPr>
            </w:pPr>
            <w:r>
              <w:rPr>
                <w:b/>
                <w:bCs/>
                <w:kern w:val="0"/>
                <w:sz w:val="22"/>
                <w:szCs w:val="21"/>
              </w:rPr>
              <w:t>超标数量（个）</w:t>
            </w:r>
          </w:p>
        </w:tc>
        <w:tc>
          <w:tcPr>
            <w:tcW w:w="621" w:type="pct"/>
            <w:vAlign w:val="center"/>
          </w:tcPr>
          <w:p w14:paraId="76D20DCF">
            <w:pPr>
              <w:widowControl/>
              <w:jc w:val="center"/>
              <w:rPr>
                <w:b/>
                <w:bCs/>
                <w:kern w:val="0"/>
                <w:sz w:val="22"/>
                <w:szCs w:val="21"/>
              </w:rPr>
            </w:pPr>
            <w:r>
              <w:rPr>
                <w:b/>
                <w:bCs/>
                <w:kern w:val="0"/>
                <w:sz w:val="22"/>
                <w:szCs w:val="21"/>
              </w:rPr>
              <w:t>超标率</w:t>
            </w:r>
          </w:p>
        </w:tc>
      </w:tr>
      <w:tr w14:paraId="622DDA71">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418" w:hRule="atLeast"/>
        </w:trPr>
        <w:tc>
          <w:tcPr>
            <w:tcW w:w="457" w:type="pct"/>
            <w:vAlign w:val="center"/>
          </w:tcPr>
          <w:p w14:paraId="6D66B775">
            <w:pPr>
              <w:jc w:val="center"/>
              <w:rPr>
                <w:rFonts w:hint="eastAsia" w:ascii="宋体" w:hAnsi="宋体" w:cs="宋体" w:eastAsiaTheme="minorEastAsia"/>
                <w:sz w:val="22"/>
                <w:lang w:val="en-US" w:eastAsia="zh-CN"/>
              </w:rPr>
            </w:pPr>
            <w:r>
              <w:rPr>
                <w:rFonts w:hint="eastAsia" w:ascii="宋体" w:hAnsi="宋体" w:cs="宋体"/>
                <w:sz w:val="22"/>
                <w:lang w:val="en-US" w:eastAsia="zh-CN"/>
              </w:rPr>
              <w:t>随州</w:t>
            </w:r>
          </w:p>
        </w:tc>
        <w:tc>
          <w:tcPr>
            <w:tcW w:w="851" w:type="pct"/>
            <w:vAlign w:val="center"/>
          </w:tcPr>
          <w:p w14:paraId="4769FFE1">
            <w:pPr>
              <w:jc w:val="center"/>
              <w:rPr>
                <w:rFonts w:hint="default" w:ascii="Times New Roman" w:hAnsi="Times New Roman" w:cs="Times New Roman" w:eastAsiaTheme="minorEastAsia"/>
                <w:sz w:val="22"/>
                <w:lang w:val="en-US" w:eastAsia="zh-CN"/>
              </w:rPr>
            </w:pPr>
            <w:r>
              <w:rPr>
                <w:rFonts w:hint="eastAsia" w:ascii="Times New Roman" w:hAnsi="Times New Roman" w:cs="Times New Roman"/>
                <w:sz w:val="22"/>
                <w:lang w:val="en-US" w:eastAsia="zh-CN"/>
              </w:rPr>
              <w:t>353</w:t>
            </w:r>
          </w:p>
        </w:tc>
        <w:tc>
          <w:tcPr>
            <w:tcW w:w="831" w:type="pct"/>
            <w:vAlign w:val="center"/>
          </w:tcPr>
          <w:p w14:paraId="588F6053">
            <w:pPr>
              <w:jc w:val="center"/>
              <w:rPr>
                <w:rFonts w:hint="default" w:ascii="Times New Roman" w:hAnsi="Times New Roman" w:cs="Times New Roman" w:eastAsiaTheme="minorEastAsia"/>
                <w:sz w:val="22"/>
                <w:lang w:val="en-US" w:eastAsia="zh-CN"/>
              </w:rPr>
            </w:pPr>
            <w:r>
              <w:rPr>
                <w:rFonts w:hint="eastAsia" w:ascii="Times New Roman" w:hAnsi="Times New Roman" w:cs="Times New Roman"/>
                <w:sz w:val="22"/>
                <w:lang w:val="en-US" w:eastAsia="zh-CN"/>
              </w:rPr>
              <w:t>56</w:t>
            </w:r>
          </w:p>
        </w:tc>
        <w:tc>
          <w:tcPr>
            <w:tcW w:w="749" w:type="pct"/>
            <w:vAlign w:val="center"/>
          </w:tcPr>
          <w:p w14:paraId="1CDDA109">
            <w:pPr>
              <w:jc w:val="center"/>
              <w:rPr>
                <w:rFonts w:hint="default" w:ascii="Times New Roman" w:hAnsi="Times New Roman" w:cs="Times New Roman" w:eastAsiaTheme="minorEastAsia"/>
                <w:sz w:val="22"/>
                <w:lang w:val="en-US" w:eastAsia="zh-CN"/>
              </w:rPr>
            </w:pPr>
            <w:r>
              <w:rPr>
                <w:rFonts w:hint="eastAsia" w:ascii="Times New Roman" w:hAnsi="Times New Roman" w:cs="Times New Roman"/>
                <w:sz w:val="22"/>
                <w:lang w:val="en-US" w:eastAsia="zh-CN"/>
              </w:rPr>
              <w:t>16%</w:t>
            </w:r>
          </w:p>
        </w:tc>
        <w:tc>
          <w:tcPr>
            <w:tcW w:w="820" w:type="pct"/>
            <w:vAlign w:val="center"/>
          </w:tcPr>
          <w:p w14:paraId="76FB8E85">
            <w:pPr>
              <w:jc w:val="center"/>
              <w:rPr>
                <w:rFonts w:hint="default" w:ascii="Times New Roman" w:hAnsi="Times New Roman" w:cs="Times New Roman" w:eastAsiaTheme="minorEastAsia"/>
                <w:sz w:val="22"/>
                <w:lang w:val="en-US" w:eastAsia="zh-CN"/>
              </w:rPr>
            </w:pPr>
            <w:r>
              <w:rPr>
                <w:rFonts w:hint="eastAsia" w:ascii="Times New Roman" w:hAnsi="Times New Roman" w:cs="Times New Roman"/>
                <w:sz w:val="22"/>
                <w:lang w:val="en-US" w:eastAsia="zh-CN"/>
              </w:rPr>
              <w:t>53</w:t>
            </w:r>
          </w:p>
        </w:tc>
        <w:tc>
          <w:tcPr>
            <w:tcW w:w="665" w:type="pct"/>
            <w:vAlign w:val="center"/>
          </w:tcPr>
          <w:p w14:paraId="4E138726">
            <w:pPr>
              <w:jc w:val="center"/>
              <w:rPr>
                <w:rFonts w:hint="eastAsia" w:ascii="Times New Roman" w:hAnsi="Times New Roman" w:cs="Times New Roman" w:eastAsiaTheme="minorEastAsia"/>
                <w:sz w:val="22"/>
                <w:lang w:val="en-US" w:eastAsia="zh-CN"/>
              </w:rPr>
            </w:pPr>
            <w:r>
              <w:rPr>
                <w:rFonts w:hint="eastAsia" w:ascii="Times New Roman" w:hAnsi="Times New Roman" w:cs="Times New Roman"/>
                <w:sz w:val="22"/>
                <w:lang w:val="en-US" w:eastAsia="zh-CN"/>
              </w:rPr>
              <w:t>3</w:t>
            </w:r>
          </w:p>
        </w:tc>
        <w:tc>
          <w:tcPr>
            <w:tcW w:w="621" w:type="pct"/>
            <w:vAlign w:val="center"/>
          </w:tcPr>
          <w:p w14:paraId="58705F87">
            <w:pPr>
              <w:jc w:val="center"/>
              <w:rPr>
                <w:rFonts w:hint="default" w:ascii="Times New Roman" w:hAnsi="Times New Roman" w:cs="Times New Roman" w:eastAsiaTheme="minorEastAsia"/>
                <w:sz w:val="22"/>
                <w:lang w:val="en-US" w:eastAsia="zh-CN"/>
              </w:rPr>
            </w:pPr>
            <w:r>
              <w:rPr>
                <w:rFonts w:hint="eastAsia" w:ascii="Times New Roman" w:hAnsi="Times New Roman" w:cs="Times New Roman"/>
                <w:sz w:val="22"/>
                <w:lang w:val="en-US" w:eastAsia="zh-CN"/>
              </w:rPr>
              <w:t>5%</w:t>
            </w:r>
          </w:p>
        </w:tc>
      </w:tr>
      <w:tr w14:paraId="0FB11923">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110" w:hRule="atLeast"/>
        </w:trPr>
        <w:tc>
          <w:tcPr>
            <w:tcW w:w="457" w:type="pct"/>
            <w:vAlign w:val="center"/>
          </w:tcPr>
          <w:p w14:paraId="4BB039E7">
            <w:pPr>
              <w:jc w:val="center"/>
              <w:rPr>
                <w:rFonts w:ascii="宋体" w:hAnsi="宋体" w:cs="宋体"/>
                <w:sz w:val="22"/>
              </w:rPr>
            </w:pPr>
            <w:r>
              <w:rPr>
                <w:rFonts w:hint="eastAsia" w:ascii="宋体" w:hAnsi="宋体" w:cs="宋体"/>
                <w:sz w:val="22"/>
              </w:rPr>
              <w:t>合计</w:t>
            </w:r>
          </w:p>
        </w:tc>
        <w:tc>
          <w:tcPr>
            <w:tcW w:w="851" w:type="pct"/>
            <w:vAlign w:val="center"/>
          </w:tcPr>
          <w:p w14:paraId="3FE42180">
            <w:pPr>
              <w:jc w:val="center"/>
              <w:rPr>
                <w:rFonts w:hint="default" w:ascii="Times New Roman" w:hAnsi="Times New Roman" w:cs="Times New Roman" w:eastAsiaTheme="minorEastAsia"/>
                <w:sz w:val="22"/>
                <w:lang w:val="en-US" w:eastAsia="zh-CN"/>
              </w:rPr>
            </w:pPr>
            <w:r>
              <w:rPr>
                <w:rFonts w:hint="eastAsia" w:ascii="Times New Roman" w:hAnsi="Times New Roman" w:cs="Times New Roman"/>
                <w:sz w:val="22"/>
                <w:lang w:val="en-US" w:eastAsia="zh-CN"/>
              </w:rPr>
              <w:t>353</w:t>
            </w:r>
          </w:p>
        </w:tc>
        <w:tc>
          <w:tcPr>
            <w:tcW w:w="831" w:type="pct"/>
            <w:vAlign w:val="center"/>
          </w:tcPr>
          <w:p w14:paraId="5146BC6B">
            <w:pPr>
              <w:jc w:val="center"/>
              <w:rPr>
                <w:rFonts w:hint="default" w:ascii="Times New Roman" w:hAnsi="Times New Roman" w:cs="Times New Roman" w:eastAsiaTheme="minorEastAsia"/>
                <w:sz w:val="22"/>
                <w:lang w:val="en-US" w:eastAsia="zh-CN"/>
              </w:rPr>
            </w:pPr>
            <w:r>
              <w:rPr>
                <w:rFonts w:hint="eastAsia" w:ascii="Times New Roman" w:hAnsi="Times New Roman" w:cs="Times New Roman"/>
                <w:sz w:val="22"/>
                <w:lang w:val="en-US" w:eastAsia="zh-CN"/>
              </w:rPr>
              <w:t>56</w:t>
            </w:r>
          </w:p>
        </w:tc>
        <w:tc>
          <w:tcPr>
            <w:tcW w:w="749" w:type="pct"/>
            <w:vAlign w:val="center"/>
          </w:tcPr>
          <w:p w14:paraId="08103BAF">
            <w:pPr>
              <w:jc w:val="center"/>
              <w:rPr>
                <w:rFonts w:hint="default" w:ascii="Times New Roman" w:hAnsi="Times New Roman" w:cs="Times New Roman" w:eastAsiaTheme="minorEastAsia"/>
                <w:sz w:val="22"/>
                <w:lang w:val="en-US" w:eastAsia="zh-CN"/>
              </w:rPr>
            </w:pPr>
            <w:r>
              <w:rPr>
                <w:rFonts w:hint="eastAsia" w:ascii="Times New Roman" w:hAnsi="Times New Roman" w:cs="Times New Roman"/>
                <w:sz w:val="22"/>
                <w:lang w:val="en-US" w:eastAsia="zh-CN"/>
              </w:rPr>
              <w:t>16%</w:t>
            </w:r>
          </w:p>
        </w:tc>
        <w:tc>
          <w:tcPr>
            <w:tcW w:w="820" w:type="pct"/>
            <w:shd w:val="clear"/>
            <w:vAlign w:val="center"/>
          </w:tcPr>
          <w:p w14:paraId="57B255C6">
            <w:pPr>
              <w:jc w:val="center"/>
              <w:rPr>
                <w:rFonts w:hint="default" w:ascii="Times New Roman" w:hAnsi="Times New Roman" w:cs="Times New Roman" w:eastAsiaTheme="minorEastAsia"/>
                <w:kern w:val="2"/>
                <w:sz w:val="22"/>
                <w:szCs w:val="22"/>
                <w:lang w:val="en-US" w:eastAsia="zh-CN" w:bidi="ar-SA"/>
              </w:rPr>
            </w:pPr>
            <w:r>
              <w:rPr>
                <w:rFonts w:hint="eastAsia" w:ascii="Times New Roman" w:hAnsi="Times New Roman" w:cs="Times New Roman"/>
                <w:sz w:val="22"/>
                <w:lang w:val="en-US" w:eastAsia="zh-CN"/>
              </w:rPr>
              <w:t>53</w:t>
            </w:r>
          </w:p>
        </w:tc>
        <w:tc>
          <w:tcPr>
            <w:tcW w:w="665" w:type="pct"/>
            <w:shd w:val="clear"/>
            <w:vAlign w:val="center"/>
          </w:tcPr>
          <w:p w14:paraId="4CDCEE84">
            <w:pPr>
              <w:jc w:val="center"/>
              <w:rPr>
                <w:rFonts w:hint="eastAsia" w:ascii="Times New Roman" w:hAnsi="Times New Roman" w:cs="Times New Roman" w:eastAsiaTheme="minorEastAsia"/>
                <w:kern w:val="2"/>
                <w:sz w:val="22"/>
                <w:szCs w:val="22"/>
                <w:lang w:val="en-US" w:eastAsia="zh-CN" w:bidi="ar-SA"/>
              </w:rPr>
            </w:pPr>
            <w:r>
              <w:rPr>
                <w:rFonts w:hint="eastAsia" w:ascii="Times New Roman" w:hAnsi="Times New Roman" w:cs="Times New Roman"/>
                <w:sz w:val="22"/>
                <w:lang w:val="en-US" w:eastAsia="zh-CN"/>
              </w:rPr>
              <w:t>3</w:t>
            </w:r>
          </w:p>
        </w:tc>
        <w:tc>
          <w:tcPr>
            <w:tcW w:w="621" w:type="pct"/>
            <w:shd w:val="clear"/>
            <w:vAlign w:val="center"/>
          </w:tcPr>
          <w:p w14:paraId="53C42130">
            <w:pPr>
              <w:jc w:val="center"/>
              <w:rPr>
                <w:rFonts w:hint="default" w:ascii="Times New Roman" w:hAnsi="Times New Roman" w:cs="Times New Roman" w:eastAsiaTheme="minorEastAsia"/>
                <w:kern w:val="2"/>
                <w:sz w:val="22"/>
                <w:szCs w:val="22"/>
                <w:lang w:val="en-US" w:eastAsia="zh-CN" w:bidi="ar-SA"/>
              </w:rPr>
            </w:pPr>
            <w:r>
              <w:rPr>
                <w:rFonts w:hint="eastAsia" w:ascii="Times New Roman" w:hAnsi="Times New Roman" w:cs="Times New Roman"/>
                <w:sz w:val="22"/>
                <w:lang w:val="en-US" w:eastAsia="zh-CN"/>
              </w:rPr>
              <w:t>5%</w:t>
            </w:r>
          </w:p>
        </w:tc>
      </w:tr>
    </w:tbl>
    <w:p w14:paraId="519703C0">
      <w:pPr>
        <w:ind w:firstLine="440" w:firstLineChars="200"/>
        <w:rPr>
          <w:rFonts w:ascii="楷体_GB2312" w:eastAsia="楷体_GB2312"/>
          <w:sz w:val="22"/>
          <w:szCs w:val="32"/>
        </w:rPr>
      </w:pPr>
    </w:p>
    <w:p w14:paraId="37091F31">
      <w:pPr>
        <w:ind w:firstLine="480" w:firstLineChars="150"/>
        <w:outlineLvl w:val="1"/>
        <w:rPr>
          <w:rFonts w:ascii="楷体_GB2312" w:eastAsia="楷体_GB2312"/>
          <w:sz w:val="32"/>
          <w:szCs w:val="32"/>
        </w:rPr>
      </w:pPr>
      <w:bookmarkStart w:id="21" w:name="_Toc184200393"/>
      <w:r>
        <w:rPr>
          <w:rFonts w:hint="eastAsia" w:ascii="楷体_GB2312" w:eastAsia="楷体_GB2312"/>
          <w:sz w:val="32"/>
          <w:szCs w:val="32"/>
        </w:rPr>
        <w:t>（二）</w:t>
      </w:r>
      <w:r>
        <w:rPr>
          <w:rFonts w:ascii="楷体_GB2312" w:eastAsia="楷体_GB2312"/>
          <w:sz w:val="32"/>
          <w:szCs w:val="32"/>
        </w:rPr>
        <w:t>超标情况</w:t>
      </w:r>
      <w:bookmarkEnd w:id="21"/>
    </w:p>
    <w:p w14:paraId="01806E64">
      <w:pPr>
        <w:ind w:firstLine="640" w:firstLineChars="200"/>
        <w:rPr>
          <w:rFonts w:hint="default" w:ascii="仿宋_GB2312" w:eastAsia="仿宋_GB2312"/>
          <w:sz w:val="32"/>
          <w:szCs w:val="32"/>
          <w:lang w:val="en-US" w:eastAsia="zh-CN"/>
        </w:rPr>
      </w:pPr>
      <w:r>
        <w:rPr>
          <w:rFonts w:hint="eastAsia" w:ascii="仿宋_GB2312" w:eastAsia="仿宋_GB2312"/>
          <w:sz w:val="32"/>
          <w:szCs w:val="32"/>
          <w:lang w:val="en-US" w:eastAsia="zh-CN"/>
        </w:rPr>
        <w:t>超标的3个入河排污口分别是随州市随县洪山镇廖家老湾附近西160米生活污水溢流排放口，超标项目为化学需氧量和总磷；随州市随县环潭镇华兴食品蛋糕坊附近100米城镇雨洪排口，超标项目为化学需氧量和氨氮；随州市广水市长岭镇白云寺西雨水汇流排污口，超标项目为化学需氧量、氨氮和总磷。</w:t>
      </w:r>
    </w:p>
    <w:p w14:paraId="2EEF322C">
      <w:pPr>
        <w:spacing w:after="156" w:afterLines="50"/>
        <w:jc w:val="center"/>
        <w:rPr>
          <w:b/>
          <w:sz w:val="28"/>
        </w:rPr>
      </w:pPr>
      <w:r>
        <w:rPr>
          <w:b/>
          <w:sz w:val="28"/>
        </w:rPr>
        <w:t>表2  超标排口数及超标倍数范围情况</w:t>
      </w:r>
      <w:r>
        <w:rPr>
          <w:rFonts w:hint="eastAsia"/>
          <w:b/>
          <w:sz w:val="28"/>
        </w:rPr>
        <w:t>（</w:t>
      </w:r>
      <w:r>
        <w:rPr>
          <w:sz w:val="28"/>
        </w:rPr>
        <w:t>按超标项目统计</w:t>
      </w:r>
      <w:r>
        <w:rPr>
          <w:rFonts w:hint="eastAsia"/>
          <w:b/>
          <w:sz w:val="28"/>
        </w:rPr>
        <w:t>）</w:t>
      </w:r>
    </w:p>
    <w:tbl>
      <w:tblPr>
        <w:tblStyle w:val="11"/>
        <w:tblW w:w="8696" w:type="dxa"/>
        <w:tblInd w:w="0" w:type="dxa"/>
        <w:tblBorders>
          <w:top w:val="single" w:color="000000" w:sz="8" w:space="0"/>
          <w:left w:val="none" w:color="auto" w:sz="0" w:space="0"/>
          <w:bottom w:val="single" w:color="auto" w:sz="4" w:space="0"/>
          <w:right w:val="none" w:color="auto" w:sz="0" w:space="0"/>
          <w:insideH w:val="single" w:color="000000" w:sz="8" w:space="0"/>
          <w:insideV w:val="single" w:color="000000" w:sz="8" w:space="0"/>
        </w:tblBorders>
        <w:tblLayout w:type="fixed"/>
        <w:tblCellMar>
          <w:top w:w="0" w:type="dxa"/>
          <w:left w:w="108" w:type="dxa"/>
          <w:bottom w:w="0" w:type="dxa"/>
          <w:right w:w="108" w:type="dxa"/>
        </w:tblCellMar>
      </w:tblPr>
      <w:tblGrid>
        <w:gridCol w:w="2851"/>
        <w:gridCol w:w="3461"/>
        <w:gridCol w:w="2384"/>
      </w:tblGrid>
      <w:tr w14:paraId="46624B4E">
        <w:tblPrEx>
          <w:tblBorders>
            <w:top w:val="single" w:color="000000" w:sz="8" w:space="0"/>
            <w:left w:val="none" w:color="auto" w:sz="0" w:space="0"/>
            <w:bottom w:val="single" w:color="auto" w:sz="4" w:space="0"/>
            <w:right w:val="none" w:color="auto" w:sz="0" w:space="0"/>
            <w:insideH w:val="single" w:color="000000" w:sz="8" w:space="0"/>
            <w:insideV w:val="single" w:color="000000" w:sz="8" w:space="0"/>
          </w:tblBorders>
          <w:tblCellMar>
            <w:top w:w="0" w:type="dxa"/>
            <w:left w:w="108" w:type="dxa"/>
            <w:bottom w:w="0" w:type="dxa"/>
            <w:right w:w="108" w:type="dxa"/>
          </w:tblCellMar>
        </w:tblPrEx>
        <w:trPr>
          <w:trHeight w:val="602" w:hRule="exact"/>
          <w:tblHeader/>
        </w:trPr>
        <w:tc>
          <w:tcPr>
            <w:tcW w:w="2851" w:type="dxa"/>
            <w:vAlign w:val="center"/>
          </w:tcPr>
          <w:p w14:paraId="7A5A6FC9">
            <w:pPr>
              <w:jc w:val="center"/>
              <w:rPr>
                <w:b/>
                <w:sz w:val="24"/>
                <w:szCs w:val="21"/>
              </w:rPr>
            </w:pPr>
            <w:r>
              <w:rPr>
                <w:b/>
                <w:sz w:val="24"/>
                <w:szCs w:val="21"/>
              </w:rPr>
              <w:t>超标项目</w:t>
            </w:r>
          </w:p>
        </w:tc>
        <w:tc>
          <w:tcPr>
            <w:tcW w:w="3461" w:type="dxa"/>
            <w:vAlign w:val="center"/>
          </w:tcPr>
          <w:p w14:paraId="7B37CD90">
            <w:pPr>
              <w:jc w:val="center"/>
              <w:rPr>
                <w:b/>
                <w:sz w:val="24"/>
                <w:szCs w:val="21"/>
              </w:rPr>
            </w:pPr>
            <w:r>
              <w:rPr>
                <w:b/>
                <w:sz w:val="24"/>
                <w:szCs w:val="21"/>
              </w:rPr>
              <w:t>超标排口数（个）</w:t>
            </w:r>
          </w:p>
        </w:tc>
        <w:tc>
          <w:tcPr>
            <w:tcW w:w="2384" w:type="dxa"/>
            <w:vAlign w:val="center"/>
          </w:tcPr>
          <w:p w14:paraId="607E9267">
            <w:pPr>
              <w:jc w:val="center"/>
              <w:rPr>
                <w:b/>
                <w:sz w:val="24"/>
                <w:szCs w:val="21"/>
              </w:rPr>
            </w:pPr>
            <w:r>
              <w:rPr>
                <w:b/>
                <w:bCs/>
                <w:sz w:val="24"/>
                <w:szCs w:val="21"/>
              </w:rPr>
              <w:t>超标倍数范围</w:t>
            </w:r>
          </w:p>
        </w:tc>
      </w:tr>
      <w:tr w14:paraId="3BB6757E">
        <w:tblPrEx>
          <w:tblBorders>
            <w:top w:val="single" w:color="000000" w:sz="8" w:space="0"/>
            <w:left w:val="none" w:color="auto" w:sz="0" w:space="0"/>
            <w:bottom w:val="single" w:color="auto" w:sz="4" w:space="0"/>
            <w:right w:val="none" w:color="auto" w:sz="0" w:space="0"/>
            <w:insideH w:val="single" w:color="000000" w:sz="8" w:space="0"/>
            <w:insideV w:val="single" w:color="000000" w:sz="8" w:space="0"/>
          </w:tblBorders>
          <w:tblCellMar>
            <w:top w:w="0" w:type="dxa"/>
            <w:left w:w="108" w:type="dxa"/>
            <w:bottom w:w="0" w:type="dxa"/>
            <w:right w:w="108" w:type="dxa"/>
          </w:tblCellMar>
        </w:tblPrEx>
        <w:trPr>
          <w:trHeight w:val="568" w:hRule="exact"/>
        </w:trPr>
        <w:tc>
          <w:tcPr>
            <w:tcW w:w="2851" w:type="dxa"/>
            <w:vAlign w:val="center"/>
          </w:tcPr>
          <w:p w14:paraId="6E0E1BF1">
            <w:pPr>
              <w:jc w:val="center"/>
              <w:rPr>
                <w:rFonts w:hint="default" w:eastAsiaTheme="minorEastAsia"/>
                <w:sz w:val="24"/>
                <w:szCs w:val="21"/>
                <w:lang w:val="en-US" w:eastAsia="zh-CN"/>
              </w:rPr>
            </w:pPr>
            <w:r>
              <w:rPr>
                <w:rFonts w:hint="eastAsia"/>
                <w:sz w:val="24"/>
                <w:szCs w:val="21"/>
                <w:lang w:val="en-US" w:eastAsia="zh-CN"/>
              </w:rPr>
              <w:t>化学需氧量</w:t>
            </w:r>
          </w:p>
        </w:tc>
        <w:tc>
          <w:tcPr>
            <w:tcW w:w="3461" w:type="dxa"/>
            <w:vAlign w:val="center"/>
          </w:tcPr>
          <w:p w14:paraId="374A385E">
            <w:pPr>
              <w:jc w:val="center"/>
              <w:rPr>
                <w:rFonts w:hint="eastAsia" w:eastAsiaTheme="minorEastAsia"/>
                <w:sz w:val="24"/>
                <w:lang w:val="en-US" w:eastAsia="zh-CN"/>
              </w:rPr>
            </w:pPr>
            <w:r>
              <w:rPr>
                <w:rFonts w:hint="eastAsia"/>
                <w:sz w:val="24"/>
                <w:lang w:val="en-US" w:eastAsia="zh-CN"/>
              </w:rPr>
              <w:t>3</w:t>
            </w:r>
          </w:p>
        </w:tc>
        <w:tc>
          <w:tcPr>
            <w:tcW w:w="2384" w:type="dxa"/>
            <w:vAlign w:val="center"/>
          </w:tcPr>
          <w:p w14:paraId="5A1B5AEF">
            <w:pPr>
              <w:jc w:val="center"/>
              <w:rPr>
                <w:rFonts w:hint="default" w:eastAsiaTheme="minorEastAsia"/>
                <w:sz w:val="24"/>
                <w:lang w:val="en-US" w:eastAsia="zh-CN"/>
              </w:rPr>
            </w:pPr>
            <w:r>
              <w:rPr>
                <w:rFonts w:hint="eastAsia"/>
                <w:sz w:val="24"/>
                <w:lang w:val="en-US" w:eastAsia="zh-CN"/>
              </w:rPr>
              <w:t>0.05--7.4</w:t>
            </w:r>
          </w:p>
        </w:tc>
      </w:tr>
      <w:tr w14:paraId="535D106D">
        <w:tblPrEx>
          <w:tblBorders>
            <w:top w:val="single" w:color="000000" w:sz="8" w:space="0"/>
            <w:left w:val="none" w:color="auto" w:sz="0" w:space="0"/>
            <w:bottom w:val="single" w:color="auto" w:sz="4" w:space="0"/>
            <w:right w:val="none" w:color="auto" w:sz="0" w:space="0"/>
            <w:insideH w:val="single" w:color="000000" w:sz="8" w:space="0"/>
            <w:insideV w:val="single" w:color="000000" w:sz="8" w:space="0"/>
          </w:tblBorders>
          <w:tblCellMar>
            <w:top w:w="0" w:type="dxa"/>
            <w:left w:w="108" w:type="dxa"/>
            <w:bottom w:w="0" w:type="dxa"/>
            <w:right w:w="108" w:type="dxa"/>
          </w:tblCellMar>
        </w:tblPrEx>
        <w:trPr>
          <w:trHeight w:val="576" w:hRule="exact"/>
        </w:trPr>
        <w:tc>
          <w:tcPr>
            <w:tcW w:w="2851" w:type="dxa"/>
            <w:vAlign w:val="center"/>
          </w:tcPr>
          <w:p w14:paraId="173F8761">
            <w:pPr>
              <w:jc w:val="center"/>
              <w:rPr>
                <w:rFonts w:hint="eastAsia" w:eastAsiaTheme="minorEastAsia"/>
                <w:sz w:val="24"/>
                <w:szCs w:val="21"/>
                <w:lang w:val="en-US" w:eastAsia="zh-CN"/>
              </w:rPr>
            </w:pPr>
            <w:r>
              <w:rPr>
                <w:rFonts w:hint="eastAsia"/>
                <w:sz w:val="24"/>
                <w:szCs w:val="21"/>
                <w:lang w:val="en-US" w:eastAsia="zh-CN"/>
              </w:rPr>
              <w:t>氨氮</w:t>
            </w:r>
          </w:p>
        </w:tc>
        <w:tc>
          <w:tcPr>
            <w:tcW w:w="3461" w:type="dxa"/>
            <w:vAlign w:val="center"/>
          </w:tcPr>
          <w:p w14:paraId="22C7D3D3">
            <w:pPr>
              <w:jc w:val="center"/>
              <w:rPr>
                <w:rFonts w:hint="eastAsia" w:eastAsiaTheme="minorEastAsia"/>
                <w:sz w:val="24"/>
                <w:lang w:val="en-US" w:eastAsia="zh-CN"/>
              </w:rPr>
            </w:pPr>
            <w:r>
              <w:rPr>
                <w:rFonts w:hint="eastAsia"/>
                <w:sz w:val="24"/>
                <w:lang w:val="en-US" w:eastAsia="zh-CN"/>
              </w:rPr>
              <w:t>2</w:t>
            </w:r>
          </w:p>
        </w:tc>
        <w:tc>
          <w:tcPr>
            <w:tcW w:w="2384" w:type="dxa"/>
            <w:vAlign w:val="center"/>
          </w:tcPr>
          <w:p w14:paraId="1367BE3B">
            <w:pPr>
              <w:jc w:val="center"/>
              <w:rPr>
                <w:rFonts w:hint="default" w:eastAsiaTheme="minorEastAsia"/>
                <w:sz w:val="24"/>
                <w:lang w:val="en-US" w:eastAsia="zh-CN"/>
              </w:rPr>
            </w:pPr>
            <w:r>
              <w:rPr>
                <w:rFonts w:hint="eastAsia"/>
                <w:sz w:val="24"/>
                <w:lang w:val="en-US" w:eastAsia="zh-CN"/>
              </w:rPr>
              <w:t>1.9--5.9</w:t>
            </w:r>
          </w:p>
        </w:tc>
      </w:tr>
      <w:tr w14:paraId="6D1B0EB6">
        <w:tblPrEx>
          <w:tblBorders>
            <w:top w:val="single" w:color="000000" w:sz="8" w:space="0"/>
            <w:left w:val="none" w:color="auto" w:sz="0" w:space="0"/>
            <w:bottom w:val="single" w:color="auto" w:sz="4" w:space="0"/>
            <w:right w:val="none" w:color="auto" w:sz="0" w:space="0"/>
            <w:insideH w:val="single" w:color="000000" w:sz="8" w:space="0"/>
            <w:insideV w:val="single" w:color="000000" w:sz="8" w:space="0"/>
          </w:tblBorders>
          <w:tblCellMar>
            <w:top w:w="0" w:type="dxa"/>
            <w:left w:w="108" w:type="dxa"/>
            <w:bottom w:w="0" w:type="dxa"/>
            <w:right w:w="108" w:type="dxa"/>
          </w:tblCellMar>
        </w:tblPrEx>
        <w:trPr>
          <w:trHeight w:val="576" w:hRule="exact"/>
        </w:trPr>
        <w:tc>
          <w:tcPr>
            <w:tcW w:w="2851" w:type="dxa"/>
            <w:vAlign w:val="center"/>
          </w:tcPr>
          <w:p w14:paraId="6B1330FD">
            <w:pPr>
              <w:jc w:val="center"/>
              <w:rPr>
                <w:rFonts w:hint="default"/>
                <w:sz w:val="24"/>
                <w:szCs w:val="21"/>
                <w:lang w:val="en-US" w:eastAsia="zh-CN"/>
              </w:rPr>
            </w:pPr>
            <w:bookmarkStart w:id="22" w:name="_Toc28715"/>
            <w:bookmarkStart w:id="23" w:name="_Toc1311"/>
            <w:bookmarkStart w:id="24" w:name="_Toc184200394"/>
            <w:bookmarkStart w:id="25" w:name="_Toc17898029"/>
            <w:r>
              <w:rPr>
                <w:rFonts w:hint="eastAsia"/>
                <w:sz w:val="24"/>
                <w:szCs w:val="21"/>
                <w:lang w:val="en-US" w:eastAsia="zh-CN"/>
              </w:rPr>
              <w:t>总磷</w:t>
            </w:r>
          </w:p>
        </w:tc>
        <w:tc>
          <w:tcPr>
            <w:tcW w:w="3461" w:type="dxa"/>
            <w:vAlign w:val="center"/>
          </w:tcPr>
          <w:p w14:paraId="319AE5A4">
            <w:pPr>
              <w:jc w:val="center"/>
              <w:rPr>
                <w:rFonts w:hint="default"/>
                <w:sz w:val="24"/>
                <w:lang w:val="en-US" w:eastAsia="zh-CN"/>
              </w:rPr>
            </w:pPr>
            <w:r>
              <w:rPr>
                <w:rFonts w:hint="eastAsia"/>
                <w:sz w:val="24"/>
                <w:lang w:val="en-US" w:eastAsia="zh-CN"/>
              </w:rPr>
              <w:t>2</w:t>
            </w:r>
          </w:p>
        </w:tc>
        <w:tc>
          <w:tcPr>
            <w:tcW w:w="2384" w:type="dxa"/>
            <w:vAlign w:val="center"/>
          </w:tcPr>
          <w:p w14:paraId="2F890B5D">
            <w:pPr>
              <w:jc w:val="center"/>
              <w:rPr>
                <w:rFonts w:hint="default"/>
                <w:sz w:val="24"/>
                <w:lang w:val="en-US" w:eastAsia="zh-CN"/>
              </w:rPr>
            </w:pPr>
            <w:r>
              <w:rPr>
                <w:rFonts w:hint="eastAsia"/>
                <w:sz w:val="24"/>
                <w:lang w:val="en-US" w:eastAsia="zh-CN"/>
              </w:rPr>
              <w:t>0.04--2.25</w:t>
            </w:r>
          </w:p>
        </w:tc>
      </w:tr>
    </w:tbl>
    <w:p w14:paraId="49DF4D9D">
      <w:pPr>
        <w:spacing w:before="156" w:beforeLines="50"/>
        <w:ind w:firstLine="640" w:firstLineChars="200"/>
        <w:outlineLvl w:val="0"/>
        <w:rPr>
          <w:rFonts w:ascii="黑体" w:hAnsi="黑体" w:eastAsia="黑体"/>
          <w:sz w:val="32"/>
          <w:szCs w:val="32"/>
        </w:rPr>
      </w:pPr>
      <w:r>
        <w:rPr>
          <w:rFonts w:hint="eastAsia" w:ascii="黑体" w:hAnsi="黑体" w:eastAsia="黑体"/>
          <w:sz w:val="32"/>
          <w:szCs w:val="32"/>
        </w:rPr>
        <w:t>四、重点尾矿库监测情况</w:t>
      </w:r>
      <w:bookmarkEnd w:id="22"/>
      <w:bookmarkEnd w:id="23"/>
      <w:bookmarkEnd w:id="24"/>
    </w:p>
    <w:p w14:paraId="2DE4A068">
      <w:pPr>
        <w:ind w:firstLine="480" w:firstLineChars="150"/>
        <w:outlineLvl w:val="1"/>
        <w:rPr>
          <w:rFonts w:ascii="楷体_GB2312" w:eastAsia="楷体_GB2312"/>
          <w:sz w:val="32"/>
          <w:szCs w:val="32"/>
        </w:rPr>
      </w:pPr>
      <w:bookmarkStart w:id="26" w:name="_Toc184200395"/>
      <w:r>
        <w:rPr>
          <w:rFonts w:hint="eastAsia" w:ascii="楷体_GB2312" w:eastAsia="楷体_GB2312"/>
          <w:sz w:val="32"/>
          <w:szCs w:val="32"/>
        </w:rPr>
        <w:t>（一）监测情况</w:t>
      </w:r>
      <w:bookmarkEnd w:id="26"/>
    </w:p>
    <w:p w14:paraId="389F09D3">
      <w:pPr>
        <w:keepNext w:val="0"/>
        <w:keepLines w:val="0"/>
        <w:pageBreakBefore w:val="0"/>
        <w:widowControl w:val="0"/>
        <w:kinsoku/>
        <w:wordWrap/>
        <w:overflowPunct/>
        <w:topLinePunct w:val="0"/>
        <w:autoSpaceDE/>
        <w:autoSpaceDN/>
        <w:bidi w:val="0"/>
        <w:adjustRightInd/>
        <w:snapToGrid/>
        <w:spacing w:after="156" w:afterLines="50"/>
        <w:ind w:firstLine="640" w:firstLineChars="200"/>
        <w:jc w:val="left"/>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2024年随州市已监测的尾矿库2个，分别为随县卸甲沟金矿有限公司尚市镇张家楼尾矿库和广水市盛泰矿业有限公司尾矿库。广水市盛泰矿业有限公司尾矿库已闭库，现场采样期间尾矿库无水外排，仅对库坝下游水塘进行了采样监测。</w:t>
      </w:r>
    </w:p>
    <w:p w14:paraId="0EE79B68">
      <w:pPr>
        <w:spacing w:after="156" w:afterLines="50"/>
        <w:jc w:val="center"/>
        <w:rPr>
          <w:b/>
          <w:sz w:val="28"/>
        </w:rPr>
      </w:pPr>
      <w:r>
        <w:rPr>
          <w:rFonts w:hAnsi="宋体"/>
          <w:b/>
          <w:sz w:val="28"/>
        </w:rPr>
        <w:t>表</w:t>
      </w:r>
      <w:r>
        <w:rPr>
          <w:b/>
          <w:sz w:val="28"/>
        </w:rPr>
        <w:t>3</w:t>
      </w:r>
      <w:r>
        <w:rPr>
          <w:rFonts w:hint="eastAsia"/>
          <w:b/>
          <w:sz w:val="28"/>
        </w:rPr>
        <w:t xml:space="preserve">  </w:t>
      </w:r>
      <w:r>
        <w:rPr>
          <w:rFonts w:hint="eastAsia"/>
          <w:b/>
          <w:sz w:val="28"/>
          <w:lang w:val="en-US" w:eastAsia="zh-CN"/>
        </w:rPr>
        <w:t>随州</w:t>
      </w:r>
      <w:r>
        <w:rPr>
          <w:rFonts w:hint="eastAsia" w:hAnsi="宋体"/>
          <w:b/>
          <w:sz w:val="28"/>
        </w:rPr>
        <w:t>市（州）重点尾矿库</w:t>
      </w:r>
      <w:r>
        <w:rPr>
          <w:rFonts w:hAnsi="宋体"/>
          <w:b/>
          <w:sz w:val="28"/>
        </w:rPr>
        <w:t>监测情况</w:t>
      </w:r>
    </w:p>
    <w:tbl>
      <w:tblPr>
        <w:tblStyle w:val="11"/>
        <w:tblW w:w="8686" w:type="dxa"/>
        <w:tblInd w:w="0" w:type="dxa"/>
        <w:tblBorders>
          <w:top w:val="single" w:color="auto" w:sz="8" w:space="0"/>
          <w:left w:val="none" w:color="auto" w:sz="0" w:space="0"/>
          <w:bottom w:val="single" w:color="auto" w:sz="8" w:space="0"/>
          <w:right w:val="none" w:color="auto" w:sz="0" w:space="0"/>
          <w:insideH w:val="single" w:color="auto" w:sz="8" w:space="0"/>
          <w:insideV w:val="single" w:color="auto" w:sz="8" w:space="0"/>
        </w:tblBorders>
        <w:tblLayout w:type="fixed"/>
        <w:tblCellMar>
          <w:top w:w="0" w:type="dxa"/>
          <w:left w:w="108" w:type="dxa"/>
          <w:bottom w:w="0" w:type="dxa"/>
          <w:right w:w="108" w:type="dxa"/>
        </w:tblCellMar>
      </w:tblPr>
      <w:tblGrid>
        <w:gridCol w:w="959"/>
        <w:gridCol w:w="1447"/>
        <w:gridCol w:w="1415"/>
        <w:gridCol w:w="1249"/>
        <w:gridCol w:w="1134"/>
        <w:gridCol w:w="1275"/>
        <w:gridCol w:w="1207"/>
      </w:tblGrid>
      <w:tr w14:paraId="02CEC53D">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PrEx>
        <w:trPr>
          <w:trHeight w:val="1092" w:hRule="atLeast"/>
          <w:tblHeader/>
        </w:trPr>
        <w:tc>
          <w:tcPr>
            <w:tcW w:w="959" w:type="dxa"/>
            <w:vAlign w:val="center"/>
          </w:tcPr>
          <w:p w14:paraId="08CC1C24">
            <w:pPr>
              <w:widowControl/>
              <w:jc w:val="center"/>
              <w:rPr>
                <w:b/>
                <w:bCs/>
                <w:kern w:val="0"/>
                <w:sz w:val="22"/>
                <w:szCs w:val="21"/>
              </w:rPr>
            </w:pPr>
            <w:r>
              <w:rPr>
                <w:rFonts w:hint="eastAsia"/>
                <w:b/>
                <w:bCs/>
                <w:kern w:val="0"/>
                <w:sz w:val="22"/>
                <w:szCs w:val="21"/>
              </w:rPr>
              <w:t>地 市</w:t>
            </w:r>
          </w:p>
        </w:tc>
        <w:tc>
          <w:tcPr>
            <w:tcW w:w="1447" w:type="dxa"/>
            <w:vAlign w:val="center"/>
          </w:tcPr>
          <w:p w14:paraId="1DC058CE">
            <w:pPr>
              <w:widowControl/>
              <w:jc w:val="center"/>
              <w:rPr>
                <w:b/>
                <w:bCs/>
                <w:kern w:val="0"/>
                <w:sz w:val="22"/>
                <w:szCs w:val="21"/>
              </w:rPr>
            </w:pPr>
            <w:r>
              <w:rPr>
                <w:rFonts w:hint="eastAsia"/>
                <w:b/>
                <w:bCs/>
                <w:kern w:val="0"/>
                <w:sz w:val="22"/>
                <w:szCs w:val="21"/>
              </w:rPr>
              <w:t>重点尾矿库</w:t>
            </w:r>
            <w:r>
              <w:rPr>
                <w:b/>
                <w:bCs/>
                <w:kern w:val="0"/>
                <w:sz w:val="22"/>
                <w:szCs w:val="21"/>
              </w:rPr>
              <w:t>（</w:t>
            </w:r>
            <w:r>
              <w:rPr>
                <w:rFonts w:hint="eastAsia"/>
                <w:b/>
                <w:bCs/>
                <w:kern w:val="0"/>
                <w:sz w:val="22"/>
                <w:szCs w:val="21"/>
              </w:rPr>
              <w:t>个</w:t>
            </w:r>
            <w:r>
              <w:rPr>
                <w:b/>
                <w:bCs/>
                <w:kern w:val="0"/>
                <w:sz w:val="22"/>
                <w:szCs w:val="21"/>
              </w:rPr>
              <w:t>）</w:t>
            </w:r>
          </w:p>
        </w:tc>
        <w:tc>
          <w:tcPr>
            <w:tcW w:w="1415" w:type="dxa"/>
            <w:vAlign w:val="center"/>
          </w:tcPr>
          <w:p w14:paraId="74000137">
            <w:pPr>
              <w:widowControl/>
              <w:jc w:val="center"/>
              <w:rPr>
                <w:b/>
                <w:bCs/>
                <w:kern w:val="0"/>
                <w:sz w:val="22"/>
                <w:szCs w:val="21"/>
              </w:rPr>
            </w:pPr>
            <w:r>
              <w:rPr>
                <w:rFonts w:hint="eastAsia"/>
                <w:b/>
                <w:bCs/>
                <w:kern w:val="0"/>
                <w:sz w:val="22"/>
                <w:szCs w:val="21"/>
              </w:rPr>
              <w:t>已监测</w:t>
            </w:r>
          </w:p>
          <w:p w14:paraId="2AB6DB17">
            <w:pPr>
              <w:widowControl/>
              <w:jc w:val="center"/>
              <w:rPr>
                <w:b/>
                <w:bCs/>
                <w:kern w:val="0"/>
                <w:sz w:val="22"/>
                <w:szCs w:val="21"/>
              </w:rPr>
            </w:pPr>
            <w:r>
              <w:rPr>
                <w:b/>
                <w:bCs/>
                <w:kern w:val="0"/>
                <w:sz w:val="22"/>
                <w:szCs w:val="21"/>
              </w:rPr>
              <w:t>（</w:t>
            </w:r>
            <w:r>
              <w:rPr>
                <w:rFonts w:hint="eastAsia"/>
                <w:b/>
                <w:bCs/>
                <w:kern w:val="0"/>
                <w:sz w:val="22"/>
                <w:szCs w:val="21"/>
              </w:rPr>
              <w:t>个</w:t>
            </w:r>
            <w:r>
              <w:rPr>
                <w:b/>
                <w:bCs/>
                <w:kern w:val="0"/>
                <w:sz w:val="22"/>
                <w:szCs w:val="21"/>
              </w:rPr>
              <w:t>）</w:t>
            </w:r>
          </w:p>
        </w:tc>
        <w:tc>
          <w:tcPr>
            <w:tcW w:w="1249" w:type="dxa"/>
            <w:vAlign w:val="center"/>
          </w:tcPr>
          <w:p w14:paraId="0B7093C7">
            <w:pPr>
              <w:widowControl/>
              <w:jc w:val="center"/>
              <w:rPr>
                <w:b/>
                <w:bCs/>
                <w:kern w:val="0"/>
                <w:sz w:val="22"/>
                <w:szCs w:val="21"/>
              </w:rPr>
            </w:pPr>
            <w:r>
              <w:rPr>
                <w:rFonts w:hint="eastAsia"/>
                <w:b/>
                <w:bCs/>
                <w:kern w:val="0"/>
                <w:sz w:val="22"/>
                <w:szCs w:val="21"/>
              </w:rPr>
              <w:t>监测比例</w:t>
            </w:r>
            <w:r>
              <w:rPr>
                <w:b/>
                <w:bCs/>
                <w:kern w:val="0"/>
                <w:sz w:val="22"/>
                <w:szCs w:val="21"/>
              </w:rPr>
              <w:t>（%）</w:t>
            </w:r>
          </w:p>
        </w:tc>
        <w:tc>
          <w:tcPr>
            <w:tcW w:w="1134" w:type="dxa"/>
            <w:vAlign w:val="center"/>
          </w:tcPr>
          <w:p w14:paraId="5811F0B8">
            <w:pPr>
              <w:widowControl/>
              <w:jc w:val="center"/>
              <w:rPr>
                <w:b/>
                <w:bCs/>
                <w:kern w:val="0"/>
                <w:sz w:val="22"/>
                <w:szCs w:val="21"/>
              </w:rPr>
            </w:pPr>
            <w:r>
              <w:rPr>
                <w:rFonts w:hint="eastAsia"/>
                <w:b/>
                <w:bCs/>
                <w:kern w:val="0"/>
                <w:sz w:val="22"/>
                <w:szCs w:val="21"/>
              </w:rPr>
              <w:t>达标数</w:t>
            </w:r>
            <w:r>
              <w:rPr>
                <w:rFonts w:hint="eastAsia" w:ascii="Times New Roman" w:hAnsi="Times New Roman" w:cs="Times New Roman"/>
                <w:sz w:val="22"/>
              </w:rPr>
              <w:t>量</w:t>
            </w:r>
            <w:r>
              <w:rPr>
                <w:b/>
                <w:bCs/>
                <w:kern w:val="0"/>
                <w:sz w:val="22"/>
                <w:szCs w:val="21"/>
              </w:rPr>
              <w:t>（</w:t>
            </w:r>
            <w:r>
              <w:rPr>
                <w:rFonts w:hint="eastAsia"/>
                <w:b/>
                <w:bCs/>
                <w:kern w:val="0"/>
                <w:sz w:val="22"/>
                <w:szCs w:val="21"/>
              </w:rPr>
              <w:t>个</w:t>
            </w:r>
            <w:r>
              <w:rPr>
                <w:b/>
                <w:bCs/>
                <w:kern w:val="0"/>
                <w:sz w:val="22"/>
                <w:szCs w:val="21"/>
              </w:rPr>
              <w:t>）</w:t>
            </w:r>
          </w:p>
        </w:tc>
        <w:tc>
          <w:tcPr>
            <w:tcW w:w="1275" w:type="dxa"/>
            <w:vAlign w:val="center"/>
          </w:tcPr>
          <w:p w14:paraId="0A62D00B">
            <w:pPr>
              <w:widowControl/>
              <w:jc w:val="center"/>
              <w:rPr>
                <w:b/>
                <w:bCs/>
                <w:kern w:val="0"/>
                <w:sz w:val="22"/>
                <w:szCs w:val="21"/>
              </w:rPr>
            </w:pPr>
            <w:r>
              <w:rPr>
                <w:rFonts w:hint="eastAsia"/>
                <w:b/>
                <w:bCs/>
                <w:kern w:val="0"/>
                <w:sz w:val="22"/>
                <w:szCs w:val="21"/>
              </w:rPr>
              <w:t>超标数量</w:t>
            </w:r>
            <w:r>
              <w:rPr>
                <w:b/>
                <w:bCs/>
                <w:kern w:val="0"/>
                <w:sz w:val="22"/>
                <w:szCs w:val="21"/>
              </w:rPr>
              <w:t>（</w:t>
            </w:r>
            <w:r>
              <w:rPr>
                <w:rFonts w:hint="eastAsia"/>
                <w:b/>
                <w:bCs/>
                <w:kern w:val="0"/>
                <w:sz w:val="22"/>
                <w:szCs w:val="21"/>
              </w:rPr>
              <w:t>个</w:t>
            </w:r>
            <w:r>
              <w:rPr>
                <w:b/>
                <w:bCs/>
                <w:kern w:val="0"/>
                <w:sz w:val="22"/>
                <w:szCs w:val="21"/>
              </w:rPr>
              <w:t>）</w:t>
            </w:r>
          </w:p>
        </w:tc>
        <w:tc>
          <w:tcPr>
            <w:tcW w:w="1207" w:type="dxa"/>
            <w:vAlign w:val="center"/>
          </w:tcPr>
          <w:p w14:paraId="0315D7BD">
            <w:pPr>
              <w:widowControl/>
              <w:jc w:val="center"/>
              <w:rPr>
                <w:b/>
                <w:bCs/>
                <w:kern w:val="0"/>
                <w:sz w:val="22"/>
                <w:szCs w:val="21"/>
              </w:rPr>
            </w:pPr>
            <w:r>
              <w:rPr>
                <w:rFonts w:hint="eastAsia"/>
                <w:b/>
                <w:bCs/>
                <w:kern w:val="0"/>
                <w:sz w:val="22"/>
                <w:szCs w:val="21"/>
              </w:rPr>
              <w:t>超标率</w:t>
            </w:r>
          </w:p>
        </w:tc>
      </w:tr>
      <w:tr w14:paraId="61F565A2">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55" w:hRule="atLeast"/>
        </w:trPr>
        <w:tc>
          <w:tcPr>
            <w:tcW w:w="959" w:type="dxa"/>
            <w:vAlign w:val="center"/>
          </w:tcPr>
          <w:p w14:paraId="5CF6AD9A">
            <w:pPr>
              <w:jc w:val="center"/>
              <w:rPr>
                <w:rFonts w:hint="eastAsia" w:ascii="宋体" w:hAnsi="宋体" w:cs="宋体" w:eastAsiaTheme="minorEastAsia"/>
                <w:sz w:val="22"/>
                <w:lang w:val="en-US" w:eastAsia="zh-CN"/>
              </w:rPr>
            </w:pPr>
            <w:r>
              <w:rPr>
                <w:rFonts w:hint="eastAsia" w:ascii="宋体" w:hAnsi="宋体" w:cs="宋体"/>
                <w:sz w:val="22"/>
                <w:lang w:val="en-US" w:eastAsia="zh-CN"/>
              </w:rPr>
              <w:t>随州</w:t>
            </w:r>
          </w:p>
        </w:tc>
        <w:tc>
          <w:tcPr>
            <w:tcW w:w="1447" w:type="dxa"/>
            <w:vAlign w:val="center"/>
          </w:tcPr>
          <w:p w14:paraId="254BB981">
            <w:pPr>
              <w:jc w:val="center"/>
              <w:rPr>
                <w:rFonts w:hint="eastAsia" w:ascii="Times New Roman" w:hAnsi="Times New Roman" w:cs="Times New Roman" w:eastAsiaTheme="minorEastAsia"/>
                <w:sz w:val="22"/>
                <w:lang w:val="en-US" w:eastAsia="zh-CN"/>
              </w:rPr>
            </w:pPr>
            <w:r>
              <w:rPr>
                <w:rFonts w:hint="eastAsia" w:ascii="Times New Roman" w:hAnsi="Times New Roman" w:cs="Times New Roman"/>
                <w:sz w:val="22"/>
                <w:lang w:val="en-US" w:eastAsia="zh-CN"/>
              </w:rPr>
              <w:t>2</w:t>
            </w:r>
          </w:p>
        </w:tc>
        <w:tc>
          <w:tcPr>
            <w:tcW w:w="1415" w:type="dxa"/>
            <w:vAlign w:val="center"/>
          </w:tcPr>
          <w:p w14:paraId="17273CCE">
            <w:pPr>
              <w:jc w:val="center"/>
              <w:rPr>
                <w:rFonts w:hint="eastAsia" w:ascii="Times New Roman" w:hAnsi="Times New Roman" w:cs="Times New Roman" w:eastAsiaTheme="minorEastAsia"/>
                <w:sz w:val="22"/>
                <w:lang w:val="en-US" w:eastAsia="zh-CN"/>
              </w:rPr>
            </w:pPr>
            <w:r>
              <w:rPr>
                <w:rFonts w:hint="eastAsia" w:ascii="Times New Roman" w:hAnsi="Times New Roman" w:cs="Times New Roman"/>
                <w:sz w:val="22"/>
                <w:lang w:val="en-US" w:eastAsia="zh-CN"/>
              </w:rPr>
              <w:t>2</w:t>
            </w:r>
          </w:p>
        </w:tc>
        <w:tc>
          <w:tcPr>
            <w:tcW w:w="1249" w:type="dxa"/>
            <w:vAlign w:val="center"/>
          </w:tcPr>
          <w:p w14:paraId="73A84F94">
            <w:pPr>
              <w:jc w:val="center"/>
              <w:rPr>
                <w:rFonts w:hint="default" w:ascii="Times New Roman" w:hAnsi="Times New Roman" w:cs="Times New Roman" w:eastAsiaTheme="minorEastAsia"/>
                <w:sz w:val="22"/>
                <w:lang w:val="en-US" w:eastAsia="zh-CN"/>
              </w:rPr>
            </w:pPr>
            <w:r>
              <w:rPr>
                <w:rFonts w:hint="eastAsia" w:ascii="Times New Roman" w:hAnsi="Times New Roman" w:cs="Times New Roman"/>
                <w:sz w:val="22"/>
                <w:lang w:val="en-US" w:eastAsia="zh-CN"/>
              </w:rPr>
              <w:t>100</w:t>
            </w:r>
          </w:p>
        </w:tc>
        <w:tc>
          <w:tcPr>
            <w:tcW w:w="1134" w:type="dxa"/>
            <w:vAlign w:val="center"/>
          </w:tcPr>
          <w:p w14:paraId="6701CD70">
            <w:pPr>
              <w:jc w:val="center"/>
              <w:rPr>
                <w:rFonts w:hint="eastAsia" w:ascii="Times New Roman" w:hAnsi="Times New Roman" w:cs="Times New Roman" w:eastAsiaTheme="minorEastAsia"/>
                <w:sz w:val="22"/>
                <w:lang w:val="en-US" w:eastAsia="zh-CN"/>
              </w:rPr>
            </w:pPr>
            <w:r>
              <w:rPr>
                <w:rFonts w:hint="eastAsia" w:ascii="Times New Roman" w:hAnsi="Times New Roman" w:cs="Times New Roman"/>
                <w:sz w:val="22"/>
                <w:lang w:val="en-US" w:eastAsia="zh-CN"/>
              </w:rPr>
              <w:t>2</w:t>
            </w:r>
          </w:p>
        </w:tc>
        <w:tc>
          <w:tcPr>
            <w:tcW w:w="1275" w:type="dxa"/>
            <w:vAlign w:val="center"/>
          </w:tcPr>
          <w:p w14:paraId="5A4EF98D">
            <w:pPr>
              <w:jc w:val="center"/>
              <w:rPr>
                <w:rFonts w:hint="eastAsia" w:ascii="Times New Roman" w:hAnsi="Times New Roman" w:cs="Times New Roman" w:eastAsiaTheme="minorEastAsia"/>
                <w:sz w:val="22"/>
                <w:lang w:val="en-US" w:eastAsia="zh-CN"/>
              </w:rPr>
            </w:pPr>
            <w:r>
              <w:rPr>
                <w:rFonts w:hint="eastAsia" w:ascii="Times New Roman" w:hAnsi="Times New Roman" w:cs="Times New Roman"/>
                <w:sz w:val="22"/>
                <w:lang w:val="en-US" w:eastAsia="zh-CN"/>
              </w:rPr>
              <w:t>0</w:t>
            </w:r>
          </w:p>
        </w:tc>
        <w:tc>
          <w:tcPr>
            <w:tcW w:w="1207" w:type="dxa"/>
            <w:vAlign w:val="center"/>
          </w:tcPr>
          <w:p w14:paraId="719E8598">
            <w:pPr>
              <w:jc w:val="center"/>
              <w:rPr>
                <w:rFonts w:hint="eastAsia" w:ascii="Times New Roman" w:hAnsi="Times New Roman" w:cs="Times New Roman" w:eastAsiaTheme="minorEastAsia"/>
                <w:sz w:val="22"/>
                <w:lang w:val="en-US" w:eastAsia="zh-CN"/>
              </w:rPr>
            </w:pPr>
            <w:r>
              <w:rPr>
                <w:rFonts w:hint="eastAsia" w:ascii="Times New Roman" w:hAnsi="Times New Roman" w:cs="Times New Roman"/>
                <w:sz w:val="22"/>
                <w:lang w:val="en-US" w:eastAsia="zh-CN"/>
              </w:rPr>
              <w:t>0</w:t>
            </w:r>
          </w:p>
        </w:tc>
      </w:tr>
      <w:tr w14:paraId="4A0215C4">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94" w:hRule="atLeast"/>
        </w:trPr>
        <w:tc>
          <w:tcPr>
            <w:tcW w:w="959" w:type="dxa"/>
            <w:vAlign w:val="center"/>
          </w:tcPr>
          <w:p w14:paraId="634802F5">
            <w:pPr>
              <w:jc w:val="center"/>
              <w:rPr>
                <w:rFonts w:ascii="宋体" w:hAnsi="宋体" w:cs="宋体"/>
                <w:sz w:val="22"/>
              </w:rPr>
            </w:pPr>
            <w:r>
              <w:rPr>
                <w:rFonts w:hint="eastAsia" w:ascii="宋体" w:hAnsi="宋体" w:cs="宋体"/>
                <w:sz w:val="22"/>
              </w:rPr>
              <w:t>合计</w:t>
            </w:r>
          </w:p>
        </w:tc>
        <w:tc>
          <w:tcPr>
            <w:tcW w:w="1447" w:type="dxa"/>
            <w:vAlign w:val="center"/>
          </w:tcPr>
          <w:p w14:paraId="4A05F22C">
            <w:pPr>
              <w:jc w:val="center"/>
              <w:rPr>
                <w:rFonts w:hint="eastAsia" w:ascii="Times New Roman" w:hAnsi="Times New Roman" w:cs="Times New Roman" w:eastAsiaTheme="minorEastAsia"/>
                <w:sz w:val="22"/>
                <w:lang w:val="en-US" w:eastAsia="zh-CN"/>
              </w:rPr>
            </w:pPr>
            <w:r>
              <w:rPr>
                <w:rFonts w:hint="eastAsia" w:ascii="Times New Roman" w:hAnsi="Times New Roman" w:cs="Times New Roman"/>
                <w:sz w:val="22"/>
                <w:lang w:val="en-US" w:eastAsia="zh-CN"/>
              </w:rPr>
              <w:t>2</w:t>
            </w:r>
          </w:p>
        </w:tc>
        <w:tc>
          <w:tcPr>
            <w:tcW w:w="1415" w:type="dxa"/>
            <w:vAlign w:val="center"/>
          </w:tcPr>
          <w:p w14:paraId="1B830920">
            <w:pPr>
              <w:jc w:val="center"/>
              <w:rPr>
                <w:rFonts w:hint="eastAsia" w:ascii="Times New Roman" w:hAnsi="Times New Roman" w:cs="Times New Roman" w:eastAsiaTheme="minorEastAsia"/>
                <w:sz w:val="22"/>
                <w:lang w:val="en-US" w:eastAsia="zh-CN"/>
              </w:rPr>
            </w:pPr>
            <w:r>
              <w:rPr>
                <w:rFonts w:hint="eastAsia" w:ascii="Times New Roman" w:hAnsi="Times New Roman" w:cs="Times New Roman"/>
                <w:sz w:val="22"/>
                <w:lang w:val="en-US" w:eastAsia="zh-CN"/>
              </w:rPr>
              <w:t>2</w:t>
            </w:r>
          </w:p>
        </w:tc>
        <w:tc>
          <w:tcPr>
            <w:tcW w:w="1249" w:type="dxa"/>
            <w:vAlign w:val="center"/>
          </w:tcPr>
          <w:p w14:paraId="574A2D84">
            <w:pPr>
              <w:jc w:val="center"/>
              <w:rPr>
                <w:rFonts w:hint="default" w:ascii="Times New Roman" w:hAnsi="Times New Roman" w:cs="Times New Roman" w:eastAsiaTheme="minorEastAsia"/>
                <w:sz w:val="22"/>
                <w:lang w:val="en-US" w:eastAsia="zh-CN"/>
              </w:rPr>
            </w:pPr>
            <w:r>
              <w:rPr>
                <w:rFonts w:hint="eastAsia" w:ascii="Times New Roman" w:hAnsi="Times New Roman" w:cs="Times New Roman"/>
                <w:sz w:val="22"/>
                <w:lang w:val="en-US" w:eastAsia="zh-CN"/>
              </w:rPr>
              <w:t>100</w:t>
            </w:r>
          </w:p>
        </w:tc>
        <w:tc>
          <w:tcPr>
            <w:tcW w:w="1134" w:type="dxa"/>
            <w:vAlign w:val="center"/>
          </w:tcPr>
          <w:p w14:paraId="4733F2BC">
            <w:pPr>
              <w:jc w:val="center"/>
              <w:rPr>
                <w:rFonts w:hint="eastAsia" w:ascii="Times New Roman" w:hAnsi="Times New Roman" w:cs="Times New Roman" w:eastAsiaTheme="minorEastAsia"/>
                <w:sz w:val="22"/>
                <w:lang w:val="en-US" w:eastAsia="zh-CN"/>
              </w:rPr>
            </w:pPr>
            <w:r>
              <w:rPr>
                <w:rFonts w:hint="eastAsia" w:ascii="Times New Roman" w:hAnsi="Times New Roman" w:cs="Times New Roman"/>
                <w:sz w:val="22"/>
                <w:lang w:val="en-US" w:eastAsia="zh-CN"/>
              </w:rPr>
              <w:t>2</w:t>
            </w:r>
          </w:p>
        </w:tc>
        <w:tc>
          <w:tcPr>
            <w:tcW w:w="1275" w:type="dxa"/>
            <w:vAlign w:val="center"/>
          </w:tcPr>
          <w:p w14:paraId="5C4C863E">
            <w:pPr>
              <w:jc w:val="center"/>
              <w:rPr>
                <w:rFonts w:hint="eastAsia" w:ascii="Times New Roman" w:hAnsi="Times New Roman" w:cs="Times New Roman" w:eastAsiaTheme="minorEastAsia"/>
                <w:sz w:val="22"/>
                <w:lang w:val="en-US" w:eastAsia="zh-CN"/>
              </w:rPr>
            </w:pPr>
            <w:r>
              <w:rPr>
                <w:rFonts w:hint="eastAsia" w:ascii="Times New Roman" w:hAnsi="Times New Roman" w:cs="Times New Roman"/>
                <w:sz w:val="22"/>
                <w:lang w:val="en-US" w:eastAsia="zh-CN"/>
              </w:rPr>
              <w:t>0</w:t>
            </w:r>
          </w:p>
        </w:tc>
        <w:tc>
          <w:tcPr>
            <w:tcW w:w="1207" w:type="dxa"/>
            <w:vAlign w:val="center"/>
          </w:tcPr>
          <w:p w14:paraId="07F38DA8">
            <w:pPr>
              <w:jc w:val="center"/>
              <w:rPr>
                <w:rFonts w:hint="eastAsia" w:ascii="Times New Roman" w:hAnsi="Times New Roman" w:cs="Times New Roman" w:eastAsiaTheme="minorEastAsia"/>
                <w:sz w:val="22"/>
                <w:lang w:val="en-US" w:eastAsia="zh-CN"/>
              </w:rPr>
            </w:pPr>
            <w:r>
              <w:rPr>
                <w:rFonts w:hint="eastAsia" w:ascii="Times New Roman" w:hAnsi="Times New Roman" w:cs="Times New Roman"/>
                <w:sz w:val="22"/>
                <w:lang w:val="en-US" w:eastAsia="zh-CN"/>
              </w:rPr>
              <w:t>0</w:t>
            </w:r>
          </w:p>
        </w:tc>
      </w:tr>
    </w:tbl>
    <w:p w14:paraId="78A10C5D">
      <w:pPr>
        <w:ind w:firstLine="480" w:firstLineChars="150"/>
        <w:outlineLvl w:val="1"/>
        <w:rPr>
          <w:rFonts w:ascii="楷体_GB2312" w:eastAsia="楷体_GB2312"/>
          <w:sz w:val="32"/>
          <w:szCs w:val="32"/>
        </w:rPr>
      </w:pPr>
      <w:bookmarkStart w:id="27" w:name="_Toc184200396"/>
      <w:r>
        <w:rPr>
          <w:rFonts w:hint="eastAsia" w:ascii="楷体_GB2312" w:eastAsia="楷体_GB2312"/>
          <w:sz w:val="32"/>
          <w:szCs w:val="32"/>
        </w:rPr>
        <w:t>（二）</w:t>
      </w:r>
      <w:r>
        <w:rPr>
          <w:rFonts w:ascii="楷体_GB2312" w:eastAsia="楷体_GB2312"/>
          <w:sz w:val="32"/>
          <w:szCs w:val="32"/>
        </w:rPr>
        <w:t>超标情况</w:t>
      </w:r>
      <w:bookmarkEnd w:id="27"/>
    </w:p>
    <w:p w14:paraId="7068FA57">
      <w:pPr>
        <w:keepNext w:val="0"/>
        <w:keepLines w:val="0"/>
        <w:pageBreakBefore w:val="0"/>
        <w:widowControl w:val="0"/>
        <w:kinsoku/>
        <w:wordWrap/>
        <w:overflowPunct/>
        <w:topLinePunct w:val="0"/>
        <w:autoSpaceDE/>
        <w:autoSpaceDN/>
        <w:bidi w:val="0"/>
        <w:adjustRightInd/>
        <w:snapToGrid/>
        <w:spacing w:after="156" w:afterLines="50"/>
        <w:ind w:firstLine="640" w:firstLineChars="200"/>
        <w:jc w:val="left"/>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随州市需监测的2个尾矿库均未超标。</w:t>
      </w:r>
    </w:p>
    <w:p w14:paraId="2F13BBE3">
      <w:pPr>
        <w:spacing w:after="156" w:afterLines="50"/>
        <w:jc w:val="center"/>
        <w:rPr>
          <w:rFonts w:asciiTheme="minorEastAsia" w:hAnsiTheme="minorEastAsia"/>
          <w:b/>
          <w:sz w:val="28"/>
        </w:rPr>
      </w:pPr>
      <w:r>
        <w:rPr>
          <w:rFonts w:asciiTheme="minorEastAsia" w:hAnsiTheme="minorEastAsia"/>
          <w:b/>
          <w:sz w:val="28"/>
        </w:rPr>
        <w:t xml:space="preserve">表4  </w:t>
      </w:r>
      <w:r>
        <w:rPr>
          <w:rFonts w:hint="eastAsia"/>
          <w:b/>
          <w:sz w:val="28"/>
          <w:lang w:val="en-US" w:eastAsia="zh-CN"/>
        </w:rPr>
        <w:t>随州</w:t>
      </w:r>
      <w:r>
        <w:rPr>
          <w:rFonts w:hint="eastAsia" w:hAnsi="宋体"/>
          <w:b/>
          <w:sz w:val="28"/>
        </w:rPr>
        <w:t>市（州）</w:t>
      </w:r>
      <w:r>
        <w:rPr>
          <w:rFonts w:hint="eastAsia" w:asciiTheme="minorEastAsia" w:hAnsiTheme="minorEastAsia"/>
          <w:b/>
          <w:sz w:val="28"/>
        </w:rPr>
        <w:t>重点尾矿库污染物</w:t>
      </w:r>
      <w:r>
        <w:rPr>
          <w:rFonts w:asciiTheme="minorEastAsia" w:hAnsiTheme="minorEastAsia"/>
          <w:b/>
          <w:sz w:val="28"/>
        </w:rPr>
        <w:t>超标情况</w:t>
      </w:r>
    </w:p>
    <w:tbl>
      <w:tblPr>
        <w:tblStyle w:val="11"/>
        <w:tblW w:w="0" w:type="auto"/>
        <w:tblInd w:w="0" w:type="dxa"/>
        <w:tblBorders>
          <w:top w:val="single" w:color="000000" w:sz="8" w:space="0"/>
          <w:left w:val="none" w:color="auto" w:sz="0" w:space="0"/>
          <w:bottom w:val="single" w:color="000000" w:sz="8" w:space="0"/>
          <w:right w:val="none" w:color="auto" w:sz="0" w:space="0"/>
          <w:insideH w:val="single" w:color="000000" w:sz="8" w:space="0"/>
          <w:insideV w:val="single" w:color="000000" w:sz="8" w:space="0"/>
        </w:tblBorders>
        <w:tblLayout w:type="fixed"/>
        <w:tblCellMar>
          <w:top w:w="0" w:type="dxa"/>
          <w:left w:w="108" w:type="dxa"/>
          <w:bottom w:w="0" w:type="dxa"/>
          <w:right w:w="108" w:type="dxa"/>
        </w:tblCellMar>
      </w:tblPr>
      <w:tblGrid>
        <w:gridCol w:w="2322"/>
        <w:gridCol w:w="2464"/>
        <w:gridCol w:w="2126"/>
        <w:gridCol w:w="1610"/>
      </w:tblGrid>
      <w:tr w14:paraId="6C253AD0">
        <w:tblPrEx>
          <w:tblBorders>
            <w:top w:val="single" w:color="000000" w:sz="8" w:space="0"/>
            <w:left w:val="none" w:color="auto" w:sz="0" w:space="0"/>
            <w:bottom w:val="single" w:color="000000" w:sz="8" w:space="0"/>
            <w:right w:val="none" w:color="auto" w:sz="0" w:space="0"/>
            <w:insideH w:val="single" w:color="000000" w:sz="8" w:space="0"/>
            <w:insideV w:val="single" w:color="000000" w:sz="8" w:space="0"/>
          </w:tblBorders>
          <w:tblCellMar>
            <w:top w:w="0" w:type="dxa"/>
            <w:left w:w="108" w:type="dxa"/>
            <w:bottom w:w="0" w:type="dxa"/>
            <w:right w:w="108" w:type="dxa"/>
          </w:tblCellMar>
        </w:tblPrEx>
        <w:trPr>
          <w:trHeight w:val="662" w:hRule="exact"/>
          <w:tblHeader/>
        </w:trPr>
        <w:tc>
          <w:tcPr>
            <w:tcW w:w="2322" w:type="dxa"/>
            <w:vAlign w:val="center"/>
          </w:tcPr>
          <w:p w14:paraId="168C665D">
            <w:pPr>
              <w:jc w:val="center"/>
              <w:rPr>
                <w:b/>
                <w:sz w:val="22"/>
                <w:szCs w:val="21"/>
              </w:rPr>
            </w:pPr>
            <w:r>
              <w:rPr>
                <w:b/>
                <w:sz w:val="22"/>
                <w:szCs w:val="21"/>
              </w:rPr>
              <w:t>超标污染物</w:t>
            </w:r>
          </w:p>
        </w:tc>
        <w:tc>
          <w:tcPr>
            <w:tcW w:w="2464" w:type="dxa"/>
            <w:vAlign w:val="center"/>
          </w:tcPr>
          <w:p w14:paraId="5774EA03">
            <w:pPr>
              <w:jc w:val="center"/>
              <w:rPr>
                <w:b/>
                <w:sz w:val="22"/>
                <w:szCs w:val="21"/>
              </w:rPr>
            </w:pPr>
            <w:r>
              <w:rPr>
                <w:b/>
                <w:sz w:val="22"/>
                <w:szCs w:val="21"/>
              </w:rPr>
              <w:t>超标</w:t>
            </w:r>
            <w:r>
              <w:rPr>
                <w:rFonts w:hint="eastAsia"/>
                <w:b/>
                <w:sz w:val="22"/>
                <w:szCs w:val="21"/>
              </w:rPr>
              <w:t>数量</w:t>
            </w:r>
            <w:r>
              <w:rPr>
                <w:b/>
                <w:sz w:val="22"/>
                <w:szCs w:val="21"/>
              </w:rPr>
              <w:t>（</w:t>
            </w:r>
            <w:r>
              <w:rPr>
                <w:rFonts w:hint="eastAsia"/>
                <w:b/>
                <w:sz w:val="22"/>
                <w:szCs w:val="21"/>
              </w:rPr>
              <w:t>个</w:t>
            </w:r>
            <w:r>
              <w:rPr>
                <w:b/>
                <w:sz w:val="22"/>
                <w:szCs w:val="21"/>
              </w:rPr>
              <w:t>）</w:t>
            </w:r>
          </w:p>
        </w:tc>
        <w:tc>
          <w:tcPr>
            <w:tcW w:w="2126" w:type="dxa"/>
            <w:vAlign w:val="center"/>
          </w:tcPr>
          <w:p w14:paraId="29ABA576">
            <w:pPr>
              <w:jc w:val="center"/>
              <w:rPr>
                <w:b/>
                <w:sz w:val="22"/>
                <w:szCs w:val="21"/>
              </w:rPr>
            </w:pPr>
            <w:r>
              <w:rPr>
                <w:b/>
                <w:sz w:val="22"/>
                <w:szCs w:val="21"/>
              </w:rPr>
              <w:t>超标排放口（个）</w:t>
            </w:r>
          </w:p>
        </w:tc>
        <w:tc>
          <w:tcPr>
            <w:tcW w:w="1610" w:type="dxa"/>
            <w:vAlign w:val="center"/>
          </w:tcPr>
          <w:p w14:paraId="6ED8AACE">
            <w:pPr>
              <w:jc w:val="center"/>
              <w:rPr>
                <w:b/>
                <w:sz w:val="22"/>
                <w:szCs w:val="21"/>
              </w:rPr>
            </w:pPr>
            <w:r>
              <w:rPr>
                <w:b/>
                <w:bCs/>
                <w:sz w:val="22"/>
                <w:szCs w:val="21"/>
              </w:rPr>
              <w:t>超标倍数</w:t>
            </w:r>
            <w:r>
              <w:rPr>
                <w:rFonts w:hint="eastAsia"/>
                <w:b/>
                <w:bCs/>
                <w:sz w:val="22"/>
                <w:szCs w:val="21"/>
              </w:rPr>
              <w:t>范围</w:t>
            </w:r>
          </w:p>
        </w:tc>
      </w:tr>
      <w:tr w14:paraId="7E1A593D">
        <w:tblPrEx>
          <w:tblBorders>
            <w:top w:val="single" w:color="000000" w:sz="8" w:space="0"/>
            <w:left w:val="none" w:color="auto" w:sz="0" w:space="0"/>
            <w:bottom w:val="single" w:color="000000" w:sz="8" w:space="0"/>
            <w:right w:val="none" w:color="auto" w:sz="0" w:space="0"/>
            <w:insideH w:val="single" w:color="000000" w:sz="8" w:space="0"/>
            <w:insideV w:val="single" w:color="000000" w:sz="8" w:space="0"/>
          </w:tblBorders>
          <w:tblCellMar>
            <w:top w:w="0" w:type="dxa"/>
            <w:left w:w="108" w:type="dxa"/>
            <w:bottom w:w="0" w:type="dxa"/>
            <w:right w:w="108" w:type="dxa"/>
          </w:tblCellMar>
        </w:tblPrEx>
        <w:trPr>
          <w:trHeight w:val="431" w:hRule="exact"/>
        </w:trPr>
        <w:tc>
          <w:tcPr>
            <w:tcW w:w="2322" w:type="dxa"/>
            <w:vAlign w:val="center"/>
          </w:tcPr>
          <w:p w14:paraId="0294E814">
            <w:pPr>
              <w:rPr>
                <w:sz w:val="22"/>
                <w:szCs w:val="21"/>
              </w:rPr>
            </w:pPr>
            <w:r>
              <w:rPr>
                <w:rFonts w:hint="eastAsia"/>
                <w:sz w:val="22"/>
                <w:szCs w:val="21"/>
              </w:rPr>
              <w:t xml:space="preserve">       </w:t>
            </w:r>
          </w:p>
        </w:tc>
        <w:tc>
          <w:tcPr>
            <w:tcW w:w="2464" w:type="dxa"/>
            <w:vAlign w:val="center"/>
          </w:tcPr>
          <w:p w14:paraId="66F35158">
            <w:pPr>
              <w:jc w:val="center"/>
              <w:rPr>
                <w:rFonts w:hint="eastAsia" w:ascii="Times New Roman" w:hAnsi="Times New Roman" w:cs="Times New Roman" w:eastAsiaTheme="minorEastAsia"/>
                <w:sz w:val="22"/>
                <w:szCs w:val="24"/>
                <w:lang w:val="en-US" w:eastAsia="zh-CN"/>
              </w:rPr>
            </w:pPr>
            <w:r>
              <w:rPr>
                <w:rFonts w:hint="eastAsia" w:ascii="Times New Roman" w:hAnsi="Times New Roman" w:cs="Times New Roman"/>
                <w:sz w:val="22"/>
                <w:szCs w:val="24"/>
                <w:lang w:val="en-US" w:eastAsia="zh-CN"/>
              </w:rPr>
              <w:t>0</w:t>
            </w:r>
          </w:p>
        </w:tc>
        <w:tc>
          <w:tcPr>
            <w:tcW w:w="2126" w:type="dxa"/>
            <w:vAlign w:val="center"/>
          </w:tcPr>
          <w:p w14:paraId="021B2AE2">
            <w:pPr>
              <w:jc w:val="center"/>
              <w:rPr>
                <w:rFonts w:ascii="Times New Roman" w:hAnsi="Times New Roman" w:cs="Times New Roman"/>
                <w:sz w:val="22"/>
                <w:szCs w:val="24"/>
              </w:rPr>
            </w:pPr>
          </w:p>
        </w:tc>
        <w:tc>
          <w:tcPr>
            <w:tcW w:w="1610" w:type="dxa"/>
            <w:vAlign w:val="center"/>
          </w:tcPr>
          <w:p w14:paraId="373E606D">
            <w:pPr>
              <w:jc w:val="center"/>
              <w:rPr>
                <w:rFonts w:ascii="Times New Roman" w:hAnsi="Times New Roman" w:cs="Times New Roman"/>
                <w:sz w:val="22"/>
                <w:szCs w:val="24"/>
              </w:rPr>
            </w:pPr>
          </w:p>
        </w:tc>
      </w:tr>
      <w:tr w14:paraId="786045C4">
        <w:tblPrEx>
          <w:tblBorders>
            <w:top w:val="single" w:color="000000" w:sz="8" w:space="0"/>
            <w:left w:val="none" w:color="auto" w:sz="0" w:space="0"/>
            <w:bottom w:val="single" w:color="000000" w:sz="8" w:space="0"/>
            <w:right w:val="none" w:color="auto" w:sz="0" w:space="0"/>
            <w:insideH w:val="single" w:color="000000" w:sz="8" w:space="0"/>
            <w:insideV w:val="single" w:color="000000" w:sz="8" w:space="0"/>
          </w:tblBorders>
          <w:tblCellMar>
            <w:top w:w="0" w:type="dxa"/>
            <w:left w:w="108" w:type="dxa"/>
            <w:bottom w:w="0" w:type="dxa"/>
            <w:right w:w="108" w:type="dxa"/>
          </w:tblCellMar>
        </w:tblPrEx>
        <w:trPr>
          <w:trHeight w:val="431" w:hRule="exact"/>
        </w:trPr>
        <w:tc>
          <w:tcPr>
            <w:tcW w:w="2322" w:type="dxa"/>
            <w:vAlign w:val="center"/>
          </w:tcPr>
          <w:p w14:paraId="06712605">
            <w:pPr>
              <w:jc w:val="center"/>
              <w:rPr>
                <w:sz w:val="22"/>
                <w:szCs w:val="21"/>
              </w:rPr>
            </w:pPr>
          </w:p>
        </w:tc>
        <w:tc>
          <w:tcPr>
            <w:tcW w:w="2464" w:type="dxa"/>
            <w:vAlign w:val="center"/>
          </w:tcPr>
          <w:p w14:paraId="2128F742">
            <w:pPr>
              <w:jc w:val="center"/>
              <w:rPr>
                <w:rFonts w:ascii="Times New Roman" w:hAnsi="Times New Roman" w:cs="Times New Roman"/>
                <w:sz w:val="22"/>
                <w:szCs w:val="24"/>
              </w:rPr>
            </w:pPr>
          </w:p>
        </w:tc>
        <w:tc>
          <w:tcPr>
            <w:tcW w:w="2126" w:type="dxa"/>
            <w:vAlign w:val="center"/>
          </w:tcPr>
          <w:p w14:paraId="1C531401">
            <w:pPr>
              <w:jc w:val="center"/>
              <w:rPr>
                <w:rFonts w:ascii="Times New Roman" w:hAnsi="Times New Roman" w:cs="Times New Roman"/>
                <w:sz w:val="22"/>
                <w:szCs w:val="24"/>
              </w:rPr>
            </w:pPr>
          </w:p>
        </w:tc>
        <w:tc>
          <w:tcPr>
            <w:tcW w:w="1610" w:type="dxa"/>
            <w:vAlign w:val="center"/>
          </w:tcPr>
          <w:p w14:paraId="6B16F1B5">
            <w:pPr>
              <w:jc w:val="center"/>
              <w:rPr>
                <w:rFonts w:ascii="Times New Roman" w:hAnsi="Times New Roman" w:cs="Times New Roman"/>
                <w:sz w:val="22"/>
                <w:szCs w:val="24"/>
              </w:rPr>
            </w:pPr>
          </w:p>
        </w:tc>
      </w:tr>
    </w:tbl>
    <w:p w14:paraId="6537617E">
      <w:pPr>
        <w:spacing w:before="156" w:beforeLines="50"/>
        <w:ind w:firstLine="640" w:firstLineChars="200"/>
        <w:outlineLvl w:val="0"/>
        <w:rPr>
          <w:rFonts w:ascii="黑体" w:hAnsi="黑体" w:eastAsia="黑体"/>
          <w:sz w:val="32"/>
          <w:szCs w:val="32"/>
        </w:rPr>
      </w:pPr>
    </w:p>
    <w:p w14:paraId="5350ECC4">
      <w:pPr>
        <w:spacing w:before="156" w:beforeLines="50"/>
        <w:ind w:firstLine="640" w:firstLineChars="200"/>
        <w:outlineLvl w:val="0"/>
        <w:rPr>
          <w:rFonts w:ascii="黑体" w:hAnsi="黑体" w:eastAsia="黑体"/>
          <w:sz w:val="32"/>
          <w:szCs w:val="32"/>
        </w:rPr>
      </w:pPr>
      <w:bookmarkStart w:id="28" w:name="_Toc184200397"/>
      <w:r>
        <w:rPr>
          <w:rFonts w:hint="eastAsia" w:ascii="黑体" w:hAnsi="黑体" w:eastAsia="黑体"/>
          <w:sz w:val="32"/>
          <w:szCs w:val="32"/>
        </w:rPr>
        <w:t>五、磷石膏库（堆场）监测情况</w:t>
      </w:r>
      <w:bookmarkEnd w:id="28"/>
    </w:p>
    <w:p w14:paraId="62AD4370">
      <w:pPr>
        <w:ind w:firstLine="480" w:firstLineChars="150"/>
        <w:outlineLvl w:val="1"/>
        <w:rPr>
          <w:rFonts w:ascii="楷体_GB2312" w:eastAsia="楷体_GB2312"/>
          <w:sz w:val="32"/>
          <w:szCs w:val="32"/>
        </w:rPr>
      </w:pPr>
      <w:bookmarkStart w:id="29" w:name="_Toc184200398"/>
      <w:r>
        <w:rPr>
          <w:rFonts w:hint="eastAsia" w:ascii="楷体_GB2312" w:eastAsia="楷体_GB2312"/>
          <w:sz w:val="32"/>
          <w:szCs w:val="32"/>
        </w:rPr>
        <w:t>（一）监测情况</w:t>
      </w:r>
      <w:bookmarkEnd w:id="29"/>
    </w:p>
    <w:p w14:paraId="6064B691">
      <w:pPr>
        <w:keepNext w:val="0"/>
        <w:keepLines w:val="0"/>
        <w:pageBreakBefore w:val="0"/>
        <w:widowControl w:val="0"/>
        <w:kinsoku/>
        <w:wordWrap/>
        <w:overflowPunct/>
        <w:topLinePunct w:val="0"/>
        <w:autoSpaceDE/>
        <w:autoSpaceDN/>
        <w:bidi w:val="0"/>
        <w:adjustRightInd/>
        <w:snapToGrid/>
        <w:spacing w:after="156" w:afterLines="50"/>
        <w:ind w:firstLine="640" w:firstLineChars="200"/>
        <w:jc w:val="left"/>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随州市无磷石膏库（堆场）。</w:t>
      </w:r>
    </w:p>
    <w:p w14:paraId="5CE4ECC2">
      <w:pPr>
        <w:spacing w:after="156" w:afterLines="50"/>
        <w:jc w:val="center"/>
        <w:rPr>
          <w:b/>
          <w:sz w:val="28"/>
        </w:rPr>
      </w:pPr>
      <w:r>
        <w:rPr>
          <w:rFonts w:hAnsi="宋体"/>
          <w:b/>
          <w:sz w:val="28"/>
        </w:rPr>
        <w:t>表</w:t>
      </w:r>
      <w:r>
        <w:rPr>
          <w:b/>
          <w:sz w:val="28"/>
        </w:rPr>
        <w:t>5</w:t>
      </w:r>
      <w:r>
        <w:rPr>
          <w:rFonts w:hint="eastAsia"/>
          <w:b/>
          <w:sz w:val="28"/>
        </w:rPr>
        <w:t xml:space="preserve">  </w:t>
      </w:r>
      <w:r>
        <w:rPr>
          <w:rFonts w:hint="eastAsia"/>
          <w:b/>
          <w:sz w:val="28"/>
          <w:lang w:val="en-US" w:eastAsia="zh-CN"/>
        </w:rPr>
        <w:t>随州</w:t>
      </w:r>
      <w:r>
        <w:rPr>
          <w:rFonts w:hint="eastAsia" w:hAnsi="宋体"/>
          <w:b/>
          <w:sz w:val="28"/>
        </w:rPr>
        <w:t>市（州）磷石膏库（堆场）</w:t>
      </w:r>
      <w:r>
        <w:rPr>
          <w:rFonts w:hAnsi="宋体"/>
          <w:b/>
          <w:sz w:val="28"/>
        </w:rPr>
        <w:t>监测情况</w:t>
      </w:r>
    </w:p>
    <w:tbl>
      <w:tblPr>
        <w:tblStyle w:val="11"/>
        <w:tblW w:w="8686" w:type="dxa"/>
        <w:tblInd w:w="0" w:type="dxa"/>
        <w:tblBorders>
          <w:top w:val="single" w:color="auto" w:sz="8" w:space="0"/>
          <w:left w:val="none" w:color="auto" w:sz="0" w:space="0"/>
          <w:bottom w:val="single" w:color="auto" w:sz="8" w:space="0"/>
          <w:right w:val="none" w:color="auto" w:sz="0" w:space="0"/>
          <w:insideH w:val="single" w:color="auto" w:sz="8" w:space="0"/>
          <w:insideV w:val="single" w:color="auto" w:sz="8" w:space="0"/>
        </w:tblBorders>
        <w:tblLayout w:type="fixed"/>
        <w:tblCellMar>
          <w:top w:w="0" w:type="dxa"/>
          <w:left w:w="108" w:type="dxa"/>
          <w:bottom w:w="0" w:type="dxa"/>
          <w:right w:w="108" w:type="dxa"/>
        </w:tblCellMar>
      </w:tblPr>
      <w:tblGrid>
        <w:gridCol w:w="959"/>
        <w:gridCol w:w="1447"/>
        <w:gridCol w:w="1415"/>
        <w:gridCol w:w="1249"/>
        <w:gridCol w:w="1134"/>
        <w:gridCol w:w="1275"/>
        <w:gridCol w:w="1207"/>
      </w:tblGrid>
      <w:tr w14:paraId="2E71CEC0">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1092" w:hRule="atLeast"/>
          <w:tblHeader/>
        </w:trPr>
        <w:tc>
          <w:tcPr>
            <w:tcW w:w="959" w:type="dxa"/>
            <w:vAlign w:val="center"/>
          </w:tcPr>
          <w:p w14:paraId="7D0ECC30">
            <w:pPr>
              <w:widowControl/>
              <w:jc w:val="center"/>
              <w:rPr>
                <w:b/>
                <w:bCs/>
                <w:kern w:val="0"/>
                <w:sz w:val="22"/>
                <w:szCs w:val="21"/>
              </w:rPr>
            </w:pPr>
            <w:r>
              <w:rPr>
                <w:rFonts w:hint="eastAsia"/>
                <w:b/>
                <w:bCs/>
                <w:kern w:val="0"/>
                <w:sz w:val="22"/>
                <w:szCs w:val="21"/>
              </w:rPr>
              <w:t>地 市</w:t>
            </w:r>
          </w:p>
        </w:tc>
        <w:tc>
          <w:tcPr>
            <w:tcW w:w="1447" w:type="dxa"/>
            <w:vAlign w:val="center"/>
          </w:tcPr>
          <w:p w14:paraId="15935A0D">
            <w:pPr>
              <w:widowControl/>
              <w:jc w:val="center"/>
              <w:rPr>
                <w:b/>
                <w:bCs/>
                <w:kern w:val="0"/>
                <w:sz w:val="22"/>
                <w:szCs w:val="21"/>
              </w:rPr>
            </w:pPr>
            <w:r>
              <w:rPr>
                <w:rFonts w:hint="eastAsia"/>
                <w:b/>
                <w:bCs/>
                <w:kern w:val="0"/>
                <w:sz w:val="22"/>
                <w:szCs w:val="21"/>
              </w:rPr>
              <w:t>磷石膏库（堆场）</w:t>
            </w:r>
            <w:r>
              <w:rPr>
                <w:b/>
                <w:bCs/>
                <w:kern w:val="0"/>
                <w:sz w:val="22"/>
                <w:szCs w:val="21"/>
              </w:rPr>
              <w:t>（</w:t>
            </w:r>
            <w:r>
              <w:rPr>
                <w:rFonts w:hint="eastAsia"/>
                <w:b/>
                <w:bCs/>
                <w:kern w:val="0"/>
                <w:sz w:val="22"/>
                <w:szCs w:val="21"/>
              </w:rPr>
              <w:t>个</w:t>
            </w:r>
            <w:r>
              <w:rPr>
                <w:b/>
                <w:bCs/>
                <w:kern w:val="0"/>
                <w:sz w:val="22"/>
                <w:szCs w:val="21"/>
              </w:rPr>
              <w:t>）</w:t>
            </w:r>
          </w:p>
        </w:tc>
        <w:tc>
          <w:tcPr>
            <w:tcW w:w="1415" w:type="dxa"/>
            <w:vAlign w:val="center"/>
          </w:tcPr>
          <w:p w14:paraId="7D4B0205">
            <w:pPr>
              <w:widowControl/>
              <w:jc w:val="center"/>
              <w:rPr>
                <w:b/>
                <w:bCs/>
                <w:kern w:val="0"/>
                <w:sz w:val="22"/>
                <w:szCs w:val="21"/>
              </w:rPr>
            </w:pPr>
            <w:r>
              <w:rPr>
                <w:rFonts w:hint="eastAsia"/>
                <w:b/>
                <w:bCs/>
                <w:kern w:val="0"/>
                <w:sz w:val="22"/>
                <w:szCs w:val="21"/>
              </w:rPr>
              <w:t>已监测</w:t>
            </w:r>
          </w:p>
          <w:p w14:paraId="1A128AD9">
            <w:pPr>
              <w:widowControl/>
              <w:jc w:val="center"/>
              <w:rPr>
                <w:b/>
                <w:bCs/>
                <w:kern w:val="0"/>
                <w:sz w:val="22"/>
                <w:szCs w:val="21"/>
              </w:rPr>
            </w:pPr>
            <w:r>
              <w:rPr>
                <w:b/>
                <w:bCs/>
                <w:kern w:val="0"/>
                <w:sz w:val="22"/>
                <w:szCs w:val="21"/>
              </w:rPr>
              <w:t>（</w:t>
            </w:r>
            <w:r>
              <w:rPr>
                <w:rFonts w:hint="eastAsia"/>
                <w:b/>
                <w:bCs/>
                <w:kern w:val="0"/>
                <w:sz w:val="22"/>
                <w:szCs w:val="21"/>
              </w:rPr>
              <w:t>个</w:t>
            </w:r>
            <w:r>
              <w:rPr>
                <w:b/>
                <w:bCs/>
                <w:kern w:val="0"/>
                <w:sz w:val="22"/>
                <w:szCs w:val="21"/>
              </w:rPr>
              <w:t>）</w:t>
            </w:r>
          </w:p>
        </w:tc>
        <w:tc>
          <w:tcPr>
            <w:tcW w:w="1249" w:type="dxa"/>
            <w:vAlign w:val="center"/>
          </w:tcPr>
          <w:p w14:paraId="566A9EA6">
            <w:pPr>
              <w:widowControl/>
              <w:jc w:val="center"/>
              <w:rPr>
                <w:b/>
                <w:bCs/>
                <w:kern w:val="0"/>
                <w:sz w:val="22"/>
                <w:szCs w:val="21"/>
              </w:rPr>
            </w:pPr>
            <w:r>
              <w:rPr>
                <w:rFonts w:hint="eastAsia"/>
                <w:b/>
                <w:bCs/>
                <w:kern w:val="0"/>
                <w:sz w:val="22"/>
                <w:szCs w:val="21"/>
              </w:rPr>
              <w:t>监测比例</w:t>
            </w:r>
            <w:r>
              <w:rPr>
                <w:b/>
                <w:bCs/>
                <w:kern w:val="0"/>
                <w:sz w:val="22"/>
                <w:szCs w:val="21"/>
              </w:rPr>
              <w:t>（%）</w:t>
            </w:r>
          </w:p>
        </w:tc>
        <w:tc>
          <w:tcPr>
            <w:tcW w:w="1134" w:type="dxa"/>
            <w:vAlign w:val="center"/>
          </w:tcPr>
          <w:p w14:paraId="425D5451">
            <w:pPr>
              <w:widowControl/>
              <w:jc w:val="center"/>
              <w:rPr>
                <w:b/>
                <w:bCs/>
                <w:kern w:val="0"/>
                <w:sz w:val="22"/>
                <w:szCs w:val="21"/>
              </w:rPr>
            </w:pPr>
            <w:r>
              <w:rPr>
                <w:rFonts w:hint="eastAsia"/>
                <w:b/>
                <w:bCs/>
                <w:kern w:val="0"/>
                <w:sz w:val="22"/>
                <w:szCs w:val="21"/>
              </w:rPr>
              <w:t>达标数量</w:t>
            </w:r>
            <w:r>
              <w:rPr>
                <w:b/>
                <w:bCs/>
                <w:kern w:val="0"/>
                <w:sz w:val="22"/>
                <w:szCs w:val="21"/>
              </w:rPr>
              <w:t>（</w:t>
            </w:r>
            <w:r>
              <w:rPr>
                <w:rFonts w:hint="eastAsia"/>
                <w:b/>
                <w:bCs/>
                <w:kern w:val="0"/>
                <w:sz w:val="22"/>
                <w:szCs w:val="21"/>
              </w:rPr>
              <w:t>个</w:t>
            </w:r>
            <w:r>
              <w:rPr>
                <w:b/>
                <w:bCs/>
                <w:kern w:val="0"/>
                <w:sz w:val="22"/>
                <w:szCs w:val="21"/>
              </w:rPr>
              <w:t>）</w:t>
            </w:r>
          </w:p>
        </w:tc>
        <w:tc>
          <w:tcPr>
            <w:tcW w:w="1275" w:type="dxa"/>
            <w:vAlign w:val="center"/>
          </w:tcPr>
          <w:p w14:paraId="2C680595">
            <w:pPr>
              <w:widowControl/>
              <w:jc w:val="center"/>
              <w:rPr>
                <w:b/>
                <w:bCs/>
                <w:kern w:val="0"/>
                <w:sz w:val="22"/>
                <w:szCs w:val="21"/>
              </w:rPr>
            </w:pPr>
            <w:r>
              <w:rPr>
                <w:rFonts w:hint="eastAsia"/>
                <w:b/>
                <w:bCs/>
                <w:kern w:val="0"/>
                <w:sz w:val="22"/>
                <w:szCs w:val="21"/>
              </w:rPr>
              <w:t>超标数量</w:t>
            </w:r>
            <w:r>
              <w:rPr>
                <w:b/>
                <w:bCs/>
                <w:kern w:val="0"/>
                <w:sz w:val="22"/>
                <w:szCs w:val="21"/>
              </w:rPr>
              <w:t>（</w:t>
            </w:r>
            <w:r>
              <w:rPr>
                <w:rFonts w:hint="eastAsia"/>
                <w:b/>
                <w:bCs/>
                <w:kern w:val="0"/>
                <w:sz w:val="22"/>
                <w:szCs w:val="21"/>
              </w:rPr>
              <w:t>个</w:t>
            </w:r>
            <w:r>
              <w:rPr>
                <w:b/>
                <w:bCs/>
                <w:kern w:val="0"/>
                <w:sz w:val="22"/>
                <w:szCs w:val="21"/>
              </w:rPr>
              <w:t>）</w:t>
            </w:r>
          </w:p>
        </w:tc>
        <w:tc>
          <w:tcPr>
            <w:tcW w:w="1207" w:type="dxa"/>
            <w:vAlign w:val="center"/>
          </w:tcPr>
          <w:p w14:paraId="270847C9">
            <w:pPr>
              <w:widowControl/>
              <w:jc w:val="center"/>
              <w:rPr>
                <w:b/>
                <w:bCs/>
                <w:kern w:val="0"/>
                <w:sz w:val="22"/>
                <w:szCs w:val="21"/>
              </w:rPr>
            </w:pPr>
            <w:r>
              <w:rPr>
                <w:rFonts w:hint="eastAsia"/>
                <w:b/>
                <w:bCs/>
                <w:kern w:val="0"/>
                <w:sz w:val="22"/>
                <w:szCs w:val="21"/>
              </w:rPr>
              <w:t>超标率</w:t>
            </w:r>
          </w:p>
        </w:tc>
      </w:tr>
      <w:tr w14:paraId="7B19F900">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55" w:hRule="atLeast"/>
        </w:trPr>
        <w:tc>
          <w:tcPr>
            <w:tcW w:w="959" w:type="dxa"/>
            <w:vAlign w:val="center"/>
          </w:tcPr>
          <w:p w14:paraId="3165C9E9">
            <w:pPr>
              <w:jc w:val="center"/>
              <w:rPr>
                <w:rFonts w:hint="eastAsia" w:ascii="宋体" w:hAnsi="宋体" w:cs="宋体" w:eastAsiaTheme="minorEastAsia"/>
                <w:sz w:val="22"/>
                <w:lang w:val="en-US" w:eastAsia="zh-CN"/>
              </w:rPr>
            </w:pPr>
            <w:r>
              <w:rPr>
                <w:rFonts w:hint="eastAsia" w:ascii="宋体" w:hAnsi="宋体" w:cs="宋体"/>
                <w:sz w:val="22"/>
                <w:lang w:val="en-US" w:eastAsia="zh-CN"/>
              </w:rPr>
              <w:t>随州</w:t>
            </w:r>
          </w:p>
        </w:tc>
        <w:tc>
          <w:tcPr>
            <w:tcW w:w="1447" w:type="dxa"/>
            <w:vAlign w:val="center"/>
          </w:tcPr>
          <w:p w14:paraId="6567B8ED">
            <w:pPr>
              <w:jc w:val="center"/>
              <w:rPr>
                <w:rFonts w:hint="eastAsia" w:ascii="Times New Roman" w:hAnsi="Times New Roman" w:cs="Times New Roman" w:eastAsiaTheme="minorEastAsia"/>
                <w:sz w:val="22"/>
                <w:lang w:val="en-US" w:eastAsia="zh-CN"/>
              </w:rPr>
            </w:pPr>
            <w:r>
              <w:rPr>
                <w:rFonts w:hint="eastAsia" w:ascii="Times New Roman" w:hAnsi="Times New Roman" w:cs="Times New Roman"/>
                <w:sz w:val="22"/>
                <w:lang w:val="en-US" w:eastAsia="zh-CN"/>
              </w:rPr>
              <w:t>0</w:t>
            </w:r>
          </w:p>
        </w:tc>
        <w:tc>
          <w:tcPr>
            <w:tcW w:w="1415" w:type="dxa"/>
            <w:vAlign w:val="center"/>
          </w:tcPr>
          <w:p w14:paraId="73EEC052">
            <w:pPr>
              <w:jc w:val="center"/>
              <w:rPr>
                <w:rFonts w:ascii="Times New Roman" w:hAnsi="Times New Roman" w:cs="Times New Roman"/>
                <w:sz w:val="22"/>
              </w:rPr>
            </w:pPr>
          </w:p>
        </w:tc>
        <w:tc>
          <w:tcPr>
            <w:tcW w:w="1249" w:type="dxa"/>
            <w:vAlign w:val="center"/>
          </w:tcPr>
          <w:p w14:paraId="224AC255">
            <w:pPr>
              <w:jc w:val="center"/>
              <w:rPr>
                <w:rFonts w:ascii="Times New Roman" w:hAnsi="Times New Roman" w:cs="Times New Roman"/>
                <w:sz w:val="22"/>
              </w:rPr>
            </w:pPr>
          </w:p>
        </w:tc>
        <w:tc>
          <w:tcPr>
            <w:tcW w:w="1134" w:type="dxa"/>
            <w:vAlign w:val="center"/>
          </w:tcPr>
          <w:p w14:paraId="42DDBD34">
            <w:pPr>
              <w:jc w:val="center"/>
              <w:rPr>
                <w:rFonts w:ascii="Times New Roman" w:hAnsi="Times New Roman" w:cs="Times New Roman"/>
                <w:sz w:val="22"/>
              </w:rPr>
            </w:pPr>
          </w:p>
        </w:tc>
        <w:tc>
          <w:tcPr>
            <w:tcW w:w="1275" w:type="dxa"/>
            <w:vAlign w:val="center"/>
          </w:tcPr>
          <w:p w14:paraId="46D7262C">
            <w:pPr>
              <w:jc w:val="center"/>
              <w:rPr>
                <w:rFonts w:ascii="Times New Roman" w:hAnsi="Times New Roman" w:cs="Times New Roman"/>
                <w:sz w:val="22"/>
              </w:rPr>
            </w:pPr>
          </w:p>
        </w:tc>
        <w:tc>
          <w:tcPr>
            <w:tcW w:w="1207" w:type="dxa"/>
            <w:vAlign w:val="center"/>
          </w:tcPr>
          <w:p w14:paraId="3103A92F">
            <w:pPr>
              <w:jc w:val="center"/>
              <w:rPr>
                <w:rFonts w:ascii="Times New Roman" w:hAnsi="Times New Roman" w:cs="Times New Roman"/>
                <w:sz w:val="22"/>
              </w:rPr>
            </w:pPr>
          </w:p>
        </w:tc>
      </w:tr>
      <w:tr w14:paraId="53B1F75D">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94" w:hRule="atLeast"/>
        </w:trPr>
        <w:tc>
          <w:tcPr>
            <w:tcW w:w="959" w:type="dxa"/>
            <w:vAlign w:val="center"/>
          </w:tcPr>
          <w:p w14:paraId="330B7BCC">
            <w:pPr>
              <w:jc w:val="center"/>
              <w:rPr>
                <w:rFonts w:ascii="宋体" w:hAnsi="宋体" w:cs="宋体"/>
                <w:sz w:val="22"/>
              </w:rPr>
            </w:pPr>
          </w:p>
        </w:tc>
        <w:tc>
          <w:tcPr>
            <w:tcW w:w="1447" w:type="dxa"/>
            <w:vAlign w:val="center"/>
          </w:tcPr>
          <w:p w14:paraId="64BBF0E2">
            <w:pPr>
              <w:jc w:val="center"/>
              <w:rPr>
                <w:rFonts w:ascii="Times New Roman" w:hAnsi="Times New Roman" w:cs="Times New Roman"/>
                <w:sz w:val="22"/>
              </w:rPr>
            </w:pPr>
          </w:p>
        </w:tc>
        <w:tc>
          <w:tcPr>
            <w:tcW w:w="1415" w:type="dxa"/>
            <w:vAlign w:val="center"/>
          </w:tcPr>
          <w:p w14:paraId="01AA27E6">
            <w:pPr>
              <w:jc w:val="center"/>
              <w:rPr>
                <w:rFonts w:ascii="Times New Roman" w:hAnsi="Times New Roman" w:cs="Times New Roman"/>
                <w:sz w:val="22"/>
              </w:rPr>
            </w:pPr>
          </w:p>
        </w:tc>
        <w:tc>
          <w:tcPr>
            <w:tcW w:w="1249" w:type="dxa"/>
            <w:vAlign w:val="center"/>
          </w:tcPr>
          <w:p w14:paraId="5C30DF86">
            <w:pPr>
              <w:jc w:val="center"/>
              <w:rPr>
                <w:rFonts w:ascii="Times New Roman" w:hAnsi="Times New Roman" w:cs="Times New Roman"/>
                <w:sz w:val="22"/>
              </w:rPr>
            </w:pPr>
          </w:p>
        </w:tc>
        <w:tc>
          <w:tcPr>
            <w:tcW w:w="1134" w:type="dxa"/>
            <w:vAlign w:val="center"/>
          </w:tcPr>
          <w:p w14:paraId="2E6DCBBE">
            <w:pPr>
              <w:jc w:val="center"/>
              <w:rPr>
                <w:rFonts w:ascii="Times New Roman" w:hAnsi="Times New Roman" w:cs="Times New Roman"/>
                <w:sz w:val="22"/>
              </w:rPr>
            </w:pPr>
          </w:p>
        </w:tc>
        <w:tc>
          <w:tcPr>
            <w:tcW w:w="1275" w:type="dxa"/>
            <w:vAlign w:val="center"/>
          </w:tcPr>
          <w:p w14:paraId="1B3CB41B">
            <w:pPr>
              <w:jc w:val="center"/>
              <w:rPr>
                <w:rFonts w:ascii="Times New Roman" w:hAnsi="Times New Roman" w:cs="Times New Roman"/>
                <w:sz w:val="22"/>
              </w:rPr>
            </w:pPr>
          </w:p>
        </w:tc>
        <w:tc>
          <w:tcPr>
            <w:tcW w:w="1207" w:type="dxa"/>
            <w:vAlign w:val="center"/>
          </w:tcPr>
          <w:p w14:paraId="40DAA64E">
            <w:pPr>
              <w:jc w:val="center"/>
              <w:rPr>
                <w:rFonts w:ascii="Times New Roman" w:hAnsi="Times New Roman" w:cs="Times New Roman"/>
                <w:sz w:val="22"/>
              </w:rPr>
            </w:pPr>
          </w:p>
        </w:tc>
      </w:tr>
      <w:tr w14:paraId="11C80E26">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94" w:hRule="atLeast"/>
        </w:trPr>
        <w:tc>
          <w:tcPr>
            <w:tcW w:w="959" w:type="dxa"/>
            <w:vAlign w:val="center"/>
          </w:tcPr>
          <w:p w14:paraId="4E37FDAC">
            <w:pPr>
              <w:jc w:val="center"/>
              <w:rPr>
                <w:rFonts w:ascii="宋体" w:hAnsi="宋体" w:cs="宋体"/>
                <w:sz w:val="22"/>
              </w:rPr>
            </w:pPr>
            <w:r>
              <w:rPr>
                <w:rFonts w:hint="eastAsia" w:ascii="宋体" w:hAnsi="宋体" w:cs="宋体"/>
                <w:sz w:val="22"/>
              </w:rPr>
              <w:t>合计</w:t>
            </w:r>
          </w:p>
        </w:tc>
        <w:tc>
          <w:tcPr>
            <w:tcW w:w="1447" w:type="dxa"/>
            <w:vAlign w:val="center"/>
          </w:tcPr>
          <w:p w14:paraId="50A76C79">
            <w:pPr>
              <w:jc w:val="center"/>
              <w:rPr>
                <w:rFonts w:ascii="Times New Roman" w:hAnsi="Times New Roman" w:cs="Times New Roman"/>
                <w:sz w:val="22"/>
              </w:rPr>
            </w:pPr>
          </w:p>
        </w:tc>
        <w:tc>
          <w:tcPr>
            <w:tcW w:w="1415" w:type="dxa"/>
            <w:vAlign w:val="center"/>
          </w:tcPr>
          <w:p w14:paraId="100C115E">
            <w:pPr>
              <w:jc w:val="center"/>
              <w:rPr>
                <w:rFonts w:ascii="Times New Roman" w:hAnsi="Times New Roman" w:cs="Times New Roman"/>
                <w:sz w:val="22"/>
              </w:rPr>
            </w:pPr>
          </w:p>
        </w:tc>
        <w:tc>
          <w:tcPr>
            <w:tcW w:w="1249" w:type="dxa"/>
            <w:vAlign w:val="center"/>
          </w:tcPr>
          <w:p w14:paraId="6FA4B72F">
            <w:pPr>
              <w:jc w:val="center"/>
              <w:rPr>
                <w:rFonts w:ascii="Times New Roman" w:hAnsi="Times New Roman" w:cs="Times New Roman"/>
                <w:sz w:val="22"/>
              </w:rPr>
            </w:pPr>
          </w:p>
        </w:tc>
        <w:tc>
          <w:tcPr>
            <w:tcW w:w="1134" w:type="dxa"/>
            <w:vAlign w:val="center"/>
          </w:tcPr>
          <w:p w14:paraId="053EB195">
            <w:pPr>
              <w:jc w:val="center"/>
              <w:rPr>
                <w:rFonts w:ascii="Times New Roman" w:hAnsi="Times New Roman" w:cs="Times New Roman"/>
                <w:sz w:val="22"/>
              </w:rPr>
            </w:pPr>
          </w:p>
        </w:tc>
        <w:tc>
          <w:tcPr>
            <w:tcW w:w="1275" w:type="dxa"/>
            <w:vAlign w:val="center"/>
          </w:tcPr>
          <w:p w14:paraId="2CAF4D20">
            <w:pPr>
              <w:jc w:val="center"/>
              <w:rPr>
                <w:rFonts w:ascii="Times New Roman" w:hAnsi="Times New Roman" w:cs="Times New Roman"/>
                <w:sz w:val="22"/>
              </w:rPr>
            </w:pPr>
          </w:p>
        </w:tc>
        <w:tc>
          <w:tcPr>
            <w:tcW w:w="1207" w:type="dxa"/>
            <w:vAlign w:val="center"/>
          </w:tcPr>
          <w:p w14:paraId="7B743B66">
            <w:pPr>
              <w:jc w:val="center"/>
              <w:rPr>
                <w:rFonts w:ascii="Times New Roman" w:hAnsi="Times New Roman" w:cs="Times New Roman"/>
                <w:sz w:val="22"/>
              </w:rPr>
            </w:pPr>
          </w:p>
        </w:tc>
      </w:tr>
    </w:tbl>
    <w:p w14:paraId="7840B06A">
      <w:pPr>
        <w:ind w:firstLine="420" w:firstLineChars="200"/>
        <w:rPr>
          <w:rFonts w:ascii="楷体_GB2312" w:eastAsia="楷体_GB2312"/>
          <w:szCs w:val="32"/>
        </w:rPr>
      </w:pPr>
    </w:p>
    <w:p w14:paraId="520E4D31">
      <w:pPr>
        <w:ind w:firstLine="480" w:firstLineChars="150"/>
        <w:outlineLvl w:val="1"/>
        <w:rPr>
          <w:rFonts w:ascii="楷体_GB2312" w:eastAsia="楷体_GB2312"/>
          <w:sz w:val="32"/>
          <w:szCs w:val="32"/>
        </w:rPr>
      </w:pPr>
      <w:bookmarkStart w:id="30" w:name="_Toc184200399"/>
      <w:r>
        <w:rPr>
          <w:rFonts w:hint="eastAsia" w:ascii="楷体_GB2312" w:eastAsia="楷体_GB2312"/>
          <w:sz w:val="32"/>
          <w:szCs w:val="32"/>
        </w:rPr>
        <w:t>（二）超标情况</w:t>
      </w:r>
      <w:bookmarkEnd w:id="30"/>
    </w:p>
    <w:p w14:paraId="60D54174">
      <w:pPr>
        <w:keepNext w:val="0"/>
        <w:keepLines w:val="0"/>
        <w:pageBreakBefore w:val="0"/>
        <w:widowControl w:val="0"/>
        <w:kinsoku/>
        <w:wordWrap/>
        <w:overflowPunct/>
        <w:topLinePunct w:val="0"/>
        <w:autoSpaceDE/>
        <w:autoSpaceDN/>
        <w:bidi w:val="0"/>
        <w:adjustRightInd/>
        <w:snapToGrid/>
        <w:spacing w:after="156" w:afterLines="50"/>
        <w:ind w:firstLine="640" w:firstLineChars="200"/>
        <w:jc w:val="left"/>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随州市无磷石膏库（堆场）。</w:t>
      </w:r>
    </w:p>
    <w:p w14:paraId="5FBA71BB">
      <w:pPr>
        <w:spacing w:after="156" w:afterLines="50"/>
        <w:jc w:val="center"/>
        <w:rPr>
          <w:rFonts w:asciiTheme="minorEastAsia" w:hAnsiTheme="minorEastAsia"/>
          <w:b/>
          <w:sz w:val="28"/>
        </w:rPr>
      </w:pPr>
      <w:r>
        <w:rPr>
          <w:rFonts w:asciiTheme="minorEastAsia" w:hAnsiTheme="minorEastAsia"/>
          <w:b/>
          <w:sz w:val="28"/>
        </w:rPr>
        <w:t xml:space="preserve">表6  </w:t>
      </w:r>
      <w:r>
        <w:rPr>
          <w:rFonts w:hint="eastAsia"/>
          <w:b/>
          <w:sz w:val="28"/>
          <w:lang w:val="en-US" w:eastAsia="zh-CN"/>
        </w:rPr>
        <w:t>随州</w:t>
      </w:r>
      <w:r>
        <w:rPr>
          <w:rFonts w:hint="eastAsia" w:hAnsi="宋体"/>
          <w:b/>
          <w:sz w:val="28"/>
        </w:rPr>
        <w:t>市（州）磷石膏库（堆场）</w:t>
      </w:r>
      <w:r>
        <w:rPr>
          <w:rFonts w:hint="eastAsia" w:asciiTheme="minorEastAsia" w:hAnsiTheme="minorEastAsia"/>
          <w:b/>
          <w:sz w:val="28"/>
        </w:rPr>
        <w:t>污染物</w:t>
      </w:r>
      <w:r>
        <w:rPr>
          <w:rFonts w:asciiTheme="minorEastAsia" w:hAnsiTheme="minorEastAsia"/>
          <w:b/>
          <w:sz w:val="28"/>
        </w:rPr>
        <w:t>超标情况</w:t>
      </w:r>
    </w:p>
    <w:tbl>
      <w:tblPr>
        <w:tblStyle w:val="11"/>
        <w:tblW w:w="0" w:type="auto"/>
        <w:tblInd w:w="0" w:type="dxa"/>
        <w:tblBorders>
          <w:top w:val="single" w:color="000000" w:sz="8" w:space="0"/>
          <w:left w:val="none" w:color="auto" w:sz="0" w:space="0"/>
          <w:bottom w:val="single" w:color="000000" w:sz="8" w:space="0"/>
          <w:right w:val="none" w:color="auto" w:sz="0" w:space="0"/>
          <w:insideH w:val="single" w:color="000000" w:sz="8" w:space="0"/>
          <w:insideV w:val="single" w:color="000000" w:sz="8" w:space="0"/>
        </w:tblBorders>
        <w:tblLayout w:type="fixed"/>
        <w:tblCellMar>
          <w:top w:w="0" w:type="dxa"/>
          <w:left w:w="108" w:type="dxa"/>
          <w:bottom w:w="0" w:type="dxa"/>
          <w:right w:w="108" w:type="dxa"/>
        </w:tblCellMar>
      </w:tblPr>
      <w:tblGrid>
        <w:gridCol w:w="2322"/>
        <w:gridCol w:w="2464"/>
        <w:gridCol w:w="2126"/>
        <w:gridCol w:w="1610"/>
      </w:tblGrid>
      <w:tr w14:paraId="32FC8E4D">
        <w:tblPrEx>
          <w:tblBorders>
            <w:top w:val="single" w:color="000000" w:sz="8" w:space="0"/>
            <w:left w:val="none" w:color="auto" w:sz="0" w:space="0"/>
            <w:bottom w:val="single" w:color="000000" w:sz="8" w:space="0"/>
            <w:right w:val="none" w:color="auto" w:sz="0" w:space="0"/>
            <w:insideH w:val="single" w:color="000000" w:sz="8" w:space="0"/>
            <w:insideV w:val="single" w:color="000000" w:sz="8" w:space="0"/>
          </w:tblBorders>
          <w:tblCellMar>
            <w:top w:w="0" w:type="dxa"/>
            <w:left w:w="108" w:type="dxa"/>
            <w:bottom w:w="0" w:type="dxa"/>
            <w:right w:w="108" w:type="dxa"/>
          </w:tblCellMar>
        </w:tblPrEx>
        <w:trPr>
          <w:trHeight w:val="662" w:hRule="exact"/>
          <w:tblHeader/>
        </w:trPr>
        <w:tc>
          <w:tcPr>
            <w:tcW w:w="2322" w:type="dxa"/>
            <w:vAlign w:val="center"/>
          </w:tcPr>
          <w:p w14:paraId="638F71EC">
            <w:pPr>
              <w:jc w:val="center"/>
              <w:rPr>
                <w:b/>
                <w:sz w:val="22"/>
                <w:szCs w:val="21"/>
              </w:rPr>
            </w:pPr>
            <w:r>
              <w:rPr>
                <w:b/>
                <w:sz w:val="22"/>
                <w:szCs w:val="21"/>
              </w:rPr>
              <w:t>超标污染物</w:t>
            </w:r>
          </w:p>
        </w:tc>
        <w:tc>
          <w:tcPr>
            <w:tcW w:w="2464" w:type="dxa"/>
            <w:vAlign w:val="center"/>
          </w:tcPr>
          <w:p w14:paraId="4A0D2A0D">
            <w:pPr>
              <w:jc w:val="center"/>
              <w:rPr>
                <w:b/>
                <w:sz w:val="22"/>
                <w:szCs w:val="21"/>
              </w:rPr>
            </w:pPr>
            <w:r>
              <w:rPr>
                <w:b/>
                <w:sz w:val="22"/>
                <w:szCs w:val="21"/>
              </w:rPr>
              <w:t>超标</w:t>
            </w:r>
            <w:r>
              <w:rPr>
                <w:rFonts w:hint="eastAsia"/>
                <w:b/>
                <w:sz w:val="22"/>
                <w:szCs w:val="21"/>
              </w:rPr>
              <w:t>数量</w:t>
            </w:r>
            <w:r>
              <w:rPr>
                <w:b/>
                <w:sz w:val="22"/>
                <w:szCs w:val="21"/>
              </w:rPr>
              <w:t>（</w:t>
            </w:r>
            <w:r>
              <w:rPr>
                <w:rFonts w:hint="eastAsia"/>
                <w:b/>
                <w:sz w:val="22"/>
                <w:szCs w:val="21"/>
              </w:rPr>
              <w:t>个</w:t>
            </w:r>
            <w:r>
              <w:rPr>
                <w:b/>
                <w:sz w:val="22"/>
                <w:szCs w:val="21"/>
              </w:rPr>
              <w:t>）</w:t>
            </w:r>
          </w:p>
        </w:tc>
        <w:tc>
          <w:tcPr>
            <w:tcW w:w="2126" w:type="dxa"/>
            <w:vAlign w:val="center"/>
          </w:tcPr>
          <w:p w14:paraId="3003A722">
            <w:pPr>
              <w:jc w:val="center"/>
              <w:rPr>
                <w:b/>
                <w:sz w:val="22"/>
                <w:szCs w:val="21"/>
              </w:rPr>
            </w:pPr>
            <w:r>
              <w:rPr>
                <w:b/>
                <w:sz w:val="22"/>
                <w:szCs w:val="21"/>
              </w:rPr>
              <w:t>超标排放口（个）</w:t>
            </w:r>
          </w:p>
        </w:tc>
        <w:tc>
          <w:tcPr>
            <w:tcW w:w="1610" w:type="dxa"/>
            <w:vAlign w:val="center"/>
          </w:tcPr>
          <w:p w14:paraId="0F43C346">
            <w:pPr>
              <w:jc w:val="center"/>
              <w:rPr>
                <w:b/>
                <w:sz w:val="22"/>
                <w:szCs w:val="21"/>
              </w:rPr>
            </w:pPr>
            <w:r>
              <w:rPr>
                <w:b/>
                <w:bCs/>
                <w:sz w:val="22"/>
                <w:szCs w:val="21"/>
              </w:rPr>
              <w:t>超标倍数</w:t>
            </w:r>
            <w:r>
              <w:rPr>
                <w:rFonts w:hint="eastAsia"/>
                <w:b/>
                <w:bCs/>
                <w:sz w:val="22"/>
                <w:szCs w:val="21"/>
              </w:rPr>
              <w:t>范围</w:t>
            </w:r>
          </w:p>
        </w:tc>
      </w:tr>
      <w:tr w14:paraId="0C95F591">
        <w:tblPrEx>
          <w:tblBorders>
            <w:top w:val="single" w:color="000000" w:sz="8" w:space="0"/>
            <w:left w:val="none" w:color="auto" w:sz="0" w:space="0"/>
            <w:bottom w:val="single" w:color="000000" w:sz="8" w:space="0"/>
            <w:right w:val="none" w:color="auto" w:sz="0" w:space="0"/>
            <w:insideH w:val="single" w:color="000000" w:sz="8" w:space="0"/>
            <w:insideV w:val="single" w:color="000000" w:sz="8" w:space="0"/>
          </w:tblBorders>
          <w:tblCellMar>
            <w:top w:w="0" w:type="dxa"/>
            <w:left w:w="108" w:type="dxa"/>
            <w:bottom w:w="0" w:type="dxa"/>
            <w:right w:w="108" w:type="dxa"/>
          </w:tblCellMar>
        </w:tblPrEx>
        <w:trPr>
          <w:trHeight w:val="431" w:hRule="exact"/>
        </w:trPr>
        <w:tc>
          <w:tcPr>
            <w:tcW w:w="2322" w:type="dxa"/>
            <w:vAlign w:val="center"/>
          </w:tcPr>
          <w:p w14:paraId="13FDAF9D">
            <w:pPr>
              <w:rPr>
                <w:sz w:val="22"/>
                <w:szCs w:val="21"/>
              </w:rPr>
            </w:pPr>
            <w:r>
              <w:rPr>
                <w:rFonts w:hint="eastAsia"/>
                <w:sz w:val="22"/>
                <w:szCs w:val="21"/>
              </w:rPr>
              <w:t xml:space="preserve">       </w:t>
            </w:r>
          </w:p>
        </w:tc>
        <w:tc>
          <w:tcPr>
            <w:tcW w:w="2464" w:type="dxa"/>
            <w:vAlign w:val="center"/>
          </w:tcPr>
          <w:p w14:paraId="21CB9C75">
            <w:pPr>
              <w:jc w:val="center"/>
              <w:rPr>
                <w:rFonts w:hint="eastAsia" w:ascii="Times New Roman" w:hAnsi="Times New Roman" w:cs="Times New Roman" w:eastAsiaTheme="minorEastAsia"/>
                <w:sz w:val="22"/>
                <w:szCs w:val="24"/>
                <w:lang w:val="en-US" w:eastAsia="zh-CN"/>
              </w:rPr>
            </w:pPr>
            <w:r>
              <w:rPr>
                <w:rFonts w:hint="eastAsia" w:ascii="Times New Roman" w:hAnsi="Times New Roman" w:cs="Times New Roman"/>
                <w:sz w:val="22"/>
                <w:szCs w:val="24"/>
                <w:lang w:val="en-US" w:eastAsia="zh-CN"/>
              </w:rPr>
              <w:t>0</w:t>
            </w:r>
          </w:p>
        </w:tc>
        <w:tc>
          <w:tcPr>
            <w:tcW w:w="2126" w:type="dxa"/>
            <w:vAlign w:val="center"/>
          </w:tcPr>
          <w:p w14:paraId="611D8E43">
            <w:pPr>
              <w:jc w:val="center"/>
              <w:rPr>
                <w:rFonts w:ascii="Times New Roman" w:hAnsi="Times New Roman" w:cs="Times New Roman"/>
                <w:sz w:val="22"/>
                <w:szCs w:val="24"/>
              </w:rPr>
            </w:pPr>
          </w:p>
        </w:tc>
        <w:tc>
          <w:tcPr>
            <w:tcW w:w="1610" w:type="dxa"/>
            <w:vAlign w:val="center"/>
          </w:tcPr>
          <w:p w14:paraId="05717C4E">
            <w:pPr>
              <w:jc w:val="center"/>
              <w:rPr>
                <w:rFonts w:ascii="Times New Roman" w:hAnsi="Times New Roman" w:cs="Times New Roman"/>
                <w:sz w:val="22"/>
                <w:szCs w:val="24"/>
              </w:rPr>
            </w:pPr>
          </w:p>
        </w:tc>
      </w:tr>
      <w:tr w14:paraId="23ECAD9B">
        <w:tblPrEx>
          <w:tblBorders>
            <w:top w:val="single" w:color="000000" w:sz="8" w:space="0"/>
            <w:left w:val="none" w:color="auto" w:sz="0" w:space="0"/>
            <w:bottom w:val="single" w:color="000000" w:sz="8" w:space="0"/>
            <w:right w:val="none" w:color="auto" w:sz="0" w:space="0"/>
            <w:insideH w:val="single" w:color="000000" w:sz="8" w:space="0"/>
            <w:insideV w:val="single" w:color="000000" w:sz="8" w:space="0"/>
          </w:tblBorders>
          <w:tblCellMar>
            <w:top w:w="0" w:type="dxa"/>
            <w:left w:w="108" w:type="dxa"/>
            <w:bottom w:w="0" w:type="dxa"/>
            <w:right w:w="108" w:type="dxa"/>
          </w:tblCellMar>
        </w:tblPrEx>
        <w:trPr>
          <w:trHeight w:val="431" w:hRule="exact"/>
        </w:trPr>
        <w:tc>
          <w:tcPr>
            <w:tcW w:w="2322" w:type="dxa"/>
            <w:vAlign w:val="center"/>
          </w:tcPr>
          <w:p w14:paraId="00F45C3F">
            <w:pPr>
              <w:jc w:val="center"/>
              <w:rPr>
                <w:sz w:val="22"/>
                <w:szCs w:val="21"/>
              </w:rPr>
            </w:pPr>
          </w:p>
        </w:tc>
        <w:tc>
          <w:tcPr>
            <w:tcW w:w="2464" w:type="dxa"/>
            <w:vAlign w:val="center"/>
          </w:tcPr>
          <w:p w14:paraId="065AE384">
            <w:pPr>
              <w:jc w:val="center"/>
              <w:rPr>
                <w:rFonts w:ascii="Times New Roman" w:hAnsi="Times New Roman" w:cs="Times New Roman"/>
                <w:sz w:val="22"/>
                <w:szCs w:val="24"/>
              </w:rPr>
            </w:pPr>
          </w:p>
        </w:tc>
        <w:tc>
          <w:tcPr>
            <w:tcW w:w="2126" w:type="dxa"/>
            <w:vAlign w:val="center"/>
          </w:tcPr>
          <w:p w14:paraId="49FDB3B5">
            <w:pPr>
              <w:jc w:val="center"/>
              <w:rPr>
                <w:rFonts w:ascii="Times New Roman" w:hAnsi="Times New Roman" w:cs="Times New Roman"/>
                <w:sz w:val="22"/>
                <w:szCs w:val="24"/>
              </w:rPr>
            </w:pPr>
          </w:p>
        </w:tc>
        <w:tc>
          <w:tcPr>
            <w:tcW w:w="1610" w:type="dxa"/>
            <w:vAlign w:val="center"/>
          </w:tcPr>
          <w:p w14:paraId="22068090">
            <w:pPr>
              <w:jc w:val="center"/>
              <w:rPr>
                <w:rFonts w:ascii="Times New Roman" w:hAnsi="Times New Roman" w:cs="Times New Roman"/>
                <w:sz w:val="22"/>
                <w:szCs w:val="24"/>
              </w:rPr>
            </w:pPr>
          </w:p>
        </w:tc>
      </w:tr>
    </w:tbl>
    <w:p w14:paraId="7BDFBBA4">
      <w:pPr>
        <w:rPr>
          <w:rFonts w:hint="eastAsia" w:ascii="黑体" w:hAnsi="黑体" w:eastAsia="黑体"/>
          <w:sz w:val="32"/>
          <w:szCs w:val="32"/>
        </w:rPr>
      </w:pPr>
    </w:p>
    <w:p w14:paraId="49FB8BE3">
      <w:pPr>
        <w:spacing w:before="156" w:beforeLines="50"/>
        <w:ind w:firstLine="640" w:firstLineChars="200"/>
        <w:outlineLvl w:val="0"/>
        <w:rPr>
          <w:rFonts w:ascii="黑体" w:hAnsi="黑体" w:eastAsia="黑体"/>
          <w:sz w:val="32"/>
          <w:szCs w:val="32"/>
        </w:rPr>
      </w:pPr>
      <w:bookmarkStart w:id="31" w:name="_Toc32112"/>
      <w:bookmarkStart w:id="32" w:name="_Toc4986"/>
      <w:bookmarkStart w:id="33" w:name="_Toc184200400"/>
      <w:r>
        <w:rPr>
          <w:rFonts w:hint="eastAsia" w:ascii="黑体" w:hAnsi="黑体" w:eastAsia="黑体"/>
          <w:sz w:val="32"/>
          <w:szCs w:val="32"/>
        </w:rPr>
        <w:t>六、涉重行业企业监测</w:t>
      </w:r>
      <w:r>
        <w:rPr>
          <w:rFonts w:ascii="黑体" w:hAnsi="黑体" w:eastAsia="黑体"/>
          <w:sz w:val="32"/>
          <w:szCs w:val="32"/>
        </w:rPr>
        <w:t>情况</w:t>
      </w:r>
      <w:bookmarkEnd w:id="31"/>
      <w:bookmarkEnd w:id="32"/>
      <w:bookmarkEnd w:id="33"/>
    </w:p>
    <w:p w14:paraId="6352A292">
      <w:pPr>
        <w:ind w:firstLine="480" w:firstLineChars="150"/>
        <w:outlineLvl w:val="1"/>
        <w:rPr>
          <w:rFonts w:ascii="楷体_GB2312" w:eastAsia="楷体_GB2312"/>
          <w:sz w:val="32"/>
          <w:szCs w:val="32"/>
        </w:rPr>
      </w:pPr>
      <w:bookmarkStart w:id="34" w:name="_Toc184200401"/>
      <w:r>
        <w:rPr>
          <w:rFonts w:hint="eastAsia" w:ascii="楷体_GB2312" w:eastAsia="楷体_GB2312"/>
          <w:sz w:val="32"/>
          <w:szCs w:val="32"/>
        </w:rPr>
        <w:t>（一）监测情况</w:t>
      </w:r>
      <w:bookmarkEnd w:id="34"/>
    </w:p>
    <w:p w14:paraId="513B8287">
      <w:pPr>
        <w:keepNext w:val="0"/>
        <w:keepLines w:val="0"/>
        <w:pageBreakBefore w:val="0"/>
        <w:widowControl w:val="0"/>
        <w:kinsoku/>
        <w:wordWrap/>
        <w:overflowPunct/>
        <w:topLinePunct w:val="0"/>
        <w:autoSpaceDE/>
        <w:autoSpaceDN/>
        <w:bidi w:val="0"/>
        <w:adjustRightInd/>
        <w:snapToGrid/>
        <w:spacing w:after="156" w:afterLines="50"/>
        <w:ind w:firstLine="640" w:firstLineChars="200"/>
        <w:jc w:val="left"/>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2024年随州市已监测的涉重行业企业4家，分别为广水市广固科技有限公司、随州市旭东升电子有限公司、湖北新成皮件（集团）有限公司、东风汽车车轮随州有限公司。</w:t>
      </w:r>
    </w:p>
    <w:p w14:paraId="6EB430C8">
      <w:pPr>
        <w:spacing w:after="156" w:afterLines="50"/>
        <w:jc w:val="center"/>
        <w:rPr>
          <w:b/>
          <w:sz w:val="28"/>
        </w:rPr>
      </w:pPr>
      <w:r>
        <w:rPr>
          <w:rFonts w:hAnsi="宋体"/>
          <w:b/>
          <w:sz w:val="28"/>
        </w:rPr>
        <w:t>表</w:t>
      </w:r>
      <w:r>
        <w:rPr>
          <w:b/>
          <w:sz w:val="28"/>
        </w:rPr>
        <w:t>7</w:t>
      </w:r>
      <w:r>
        <w:rPr>
          <w:rFonts w:hint="eastAsia"/>
          <w:b/>
          <w:sz w:val="28"/>
        </w:rPr>
        <w:t xml:space="preserve"> </w:t>
      </w:r>
      <w:r>
        <w:rPr>
          <w:rFonts w:hint="eastAsia"/>
          <w:b/>
          <w:sz w:val="28"/>
          <w:lang w:val="en-US" w:eastAsia="zh-CN"/>
        </w:rPr>
        <w:t>随州</w:t>
      </w:r>
      <w:r>
        <w:rPr>
          <w:rFonts w:hint="eastAsia" w:hAnsi="宋体"/>
          <w:b/>
          <w:sz w:val="28"/>
        </w:rPr>
        <w:t>市（州）涉重行业企业</w:t>
      </w:r>
      <w:r>
        <w:rPr>
          <w:rFonts w:hAnsi="宋体"/>
          <w:b/>
          <w:sz w:val="28"/>
        </w:rPr>
        <w:t>监测情况</w:t>
      </w:r>
    </w:p>
    <w:tbl>
      <w:tblPr>
        <w:tblStyle w:val="11"/>
        <w:tblW w:w="8686" w:type="dxa"/>
        <w:tblInd w:w="0" w:type="dxa"/>
        <w:tblBorders>
          <w:top w:val="single" w:color="auto" w:sz="8" w:space="0"/>
          <w:left w:val="none" w:color="auto" w:sz="0" w:space="0"/>
          <w:bottom w:val="single" w:color="auto" w:sz="8" w:space="0"/>
          <w:right w:val="none" w:color="auto" w:sz="0" w:space="0"/>
          <w:insideH w:val="single" w:color="auto" w:sz="8" w:space="0"/>
          <w:insideV w:val="single" w:color="auto" w:sz="8" w:space="0"/>
        </w:tblBorders>
        <w:tblLayout w:type="fixed"/>
        <w:tblCellMar>
          <w:top w:w="0" w:type="dxa"/>
          <w:left w:w="108" w:type="dxa"/>
          <w:bottom w:w="0" w:type="dxa"/>
          <w:right w:w="108" w:type="dxa"/>
        </w:tblCellMar>
      </w:tblPr>
      <w:tblGrid>
        <w:gridCol w:w="959"/>
        <w:gridCol w:w="1559"/>
        <w:gridCol w:w="1418"/>
        <w:gridCol w:w="1134"/>
        <w:gridCol w:w="1134"/>
        <w:gridCol w:w="1275"/>
        <w:gridCol w:w="1207"/>
      </w:tblGrid>
      <w:tr w14:paraId="517297FA">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764" w:hRule="atLeast"/>
          <w:tblHeader/>
        </w:trPr>
        <w:tc>
          <w:tcPr>
            <w:tcW w:w="959" w:type="dxa"/>
            <w:vAlign w:val="center"/>
          </w:tcPr>
          <w:p w14:paraId="2951E572">
            <w:pPr>
              <w:widowControl/>
              <w:jc w:val="center"/>
              <w:rPr>
                <w:b/>
                <w:bCs/>
                <w:kern w:val="0"/>
                <w:sz w:val="22"/>
                <w:szCs w:val="21"/>
              </w:rPr>
            </w:pPr>
            <w:r>
              <w:rPr>
                <w:rFonts w:hint="eastAsia"/>
                <w:b/>
                <w:bCs/>
                <w:kern w:val="0"/>
                <w:sz w:val="22"/>
                <w:szCs w:val="21"/>
              </w:rPr>
              <w:t>地 市</w:t>
            </w:r>
          </w:p>
        </w:tc>
        <w:tc>
          <w:tcPr>
            <w:tcW w:w="1559" w:type="dxa"/>
            <w:vAlign w:val="center"/>
          </w:tcPr>
          <w:p w14:paraId="361A1456">
            <w:pPr>
              <w:widowControl/>
              <w:jc w:val="center"/>
              <w:rPr>
                <w:b/>
                <w:bCs/>
                <w:kern w:val="0"/>
                <w:sz w:val="22"/>
                <w:szCs w:val="21"/>
              </w:rPr>
            </w:pPr>
            <w:r>
              <w:rPr>
                <w:rFonts w:hint="eastAsia"/>
                <w:b/>
                <w:bCs/>
                <w:kern w:val="0"/>
                <w:sz w:val="22"/>
                <w:szCs w:val="21"/>
              </w:rPr>
              <w:t>已发证涉重行业企业</w:t>
            </w:r>
            <w:r>
              <w:rPr>
                <w:b/>
                <w:bCs/>
                <w:kern w:val="0"/>
                <w:sz w:val="22"/>
                <w:szCs w:val="21"/>
              </w:rPr>
              <w:t>（家）</w:t>
            </w:r>
          </w:p>
        </w:tc>
        <w:tc>
          <w:tcPr>
            <w:tcW w:w="1418" w:type="dxa"/>
            <w:vAlign w:val="center"/>
          </w:tcPr>
          <w:p w14:paraId="60076789">
            <w:pPr>
              <w:widowControl/>
              <w:jc w:val="center"/>
              <w:rPr>
                <w:b/>
                <w:bCs/>
                <w:kern w:val="0"/>
                <w:sz w:val="22"/>
                <w:szCs w:val="21"/>
              </w:rPr>
            </w:pPr>
            <w:r>
              <w:rPr>
                <w:rFonts w:hint="eastAsia"/>
                <w:b/>
                <w:bCs/>
                <w:kern w:val="0"/>
                <w:sz w:val="22"/>
                <w:szCs w:val="21"/>
              </w:rPr>
              <w:t>已监测</w:t>
            </w:r>
            <w:r>
              <w:rPr>
                <w:b/>
                <w:bCs/>
                <w:kern w:val="0"/>
                <w:sz w:val="22"/>
                <w:szCs w:val="21"/>
              </w:rPr>
              <w:t>（家）</w:t>
            </w:r>
          </w:p>
        </w:tc>
        <w:tc>
          <w:tcPr>
            <w:tcW w:w="1134" w:type="dxa"/>
            <w:vAlign w:val="center"/>
          </w:tcPr>
          <w:p w14:paraId="2769ECCF">
            <w:pPr>
              <w:widowControl/>
              <w:jc w:val="center"/>
              <w:rPr>
                <w:b/>
                <w:bCs/>
                <w:kern w:val="0"/>
                <w:sz w:val="22"/>
                <w:szCs w:val="21"/>
              </w:rPr>
            </w:pPr>
            <w:r>
              <w:rPr>
                <w:rFonts w:hint="eastAsia"/>
                <w:b/>
                <w:bCs/>
                <w:kern w:val="0"/>
                <w:sz w:val="22"/>
                <w:szCs w:val="21"/>
              </w:rPr>
              <w:t>监测比例</w:t>
            </w:r>
            <w:r>
              <w:rPr>
                <w:b/>
                <w:bCs/>
                <w:kern w:val="0"/>
                <w:sz w:val="22"/>
                <w:szCs w:val="21"/>
              </w:rPr>
              <w:t>（%）</w:t>
            </w:r>
          </w:p>
        </w:tc>
        <w:tc>
          <w:tcPr>
            <w:tcW w:w="1134" w:type="dxa"/>
            <w:vAlign w:val="center"/>
          </w:tcPr>
          <w:p w14:paraId="3B725390">
            <w:pPr>
              <w:widowControl/>
              <w:jc w:val="center"/>
              <w:rPr>
                <w:b/>
                <w:bCs/>
                <w:kern w:val="0"/>
                <w:sz w:val="22"/>
                <w:szCs w:val="21"/>
              </w:rPr>
            </w:pPr>
            <w:r>
              <w:rPr>
                <w:rFonts w:hint="eastAsia"/>
                <w:b/>
                <w:bCs/>
                <w:kern w:val="0"/>
                <w:sz w:val="22"/>
                <w:szCs w:val="21"/>
              </w:rPr>
              <w:t>达标企业</w:t>
            </w:r>
            <w:r>
              <w:rPr>
                <w:b/>
                <w:bCs/>
                <w:kern w:val="0"/>
                <w:sz w:val="22"/>
                <w:szCs w:val="21"/>
              </w:rPr>
              <w:t>（家）</w:t>
            </w:r>
          </w:p>
        </w:tc>
        <w:tc>
          <w:tcPr>
            <w:tcW w:w="1275" w:type="dxa"/>
            <w:vAlign w:val="center"/>
          </w:tcPr>
          <w:p w14:paraId="7B4F1296">
            <w:pPr>
              <w:widowControl/>
              <w:jc w:val="center"/>
              <w:rPr>
                <w:b/>
                <w:bCs/>
                <w:kern w:val="0"/>
                <w:sz w:val="22"/>
                <w:szCs w:val="21"/>
              </w:rPr>
            </w:pPr>
            <w:r>
              <w:rPr>
                <w:rFonts w:hint="eastAsia"/>
                <w:b/>
                <w:bCs/>
                <w:kern w:val="0"/>
                <w:sz w:val="22"/>
                <w:szCs w:val="21"/>
              </w:rPr>
              <w:t>超标企业</w:t>
            </w:r>
            <w:r>
              <w:rPr>
                <w:b/>
                <w:bCs/>
                <w:kern w:val="0"/>
                <w:sz w:val="22"/>
                <w:szCs w:val="21"/>
              </w:rPr>
              <w:t>（家）</w:t>
            </w:r>
          </w:p>
        </w:tc>
        <w:tc>
          <w:tcPr>
            <w:tcW w:w="1207" w:type="dxa"/>
            <w:vAlign w:val="center"/>
          </w:tcPr>
          <w:p w14:paraId="2747E8B0">
            <w:pPr>
              <w:widowControl/>
              <w:jc w:val="center"/>
              <w:rPr>
                <w:b/>
                <w:bCs/>
                <w:kern w:val="0"/>
                <w:sz w:val="22"/>
                <w:szCs w:val="21"/>
              </w:rPr>
            </w:pPr>
            <w:r>
              <w:rPr>
                <w:rFonts w:hint="eastAsia"/>
                <w:b/>
                <w:bCs/>
                <w:kern w:val="0"/>
                <w:sz w:val="22"/>
                <w:szCs w:val="21"/>
              </w:rPr>
              <w:t>超标率</w:t>
            </w:r>
          </w:p>
        </w:tc>
      </w:tr>
      <w:tr w14:paraId="0A2B5B87">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55" w:hRule="atLeast"/>
        </w:trPr>
        <w:tc>
          <w:tcPr>
            <w:tcW w:w="959" w:type="dxa"/>
            <w:vAlign w:val="center"/>
          </w:tcPr>
          <w:p w14:paraId="352DEA2B">
            <w:pPr>
              <w:jc w:val="center"/>
              <w:rPr>
                <w:rFonts w:hint="eastAsia" w:ascii="宋体" w:hAnsi="宋体" w:cs="宋体" w:eastAsiaTheme="minorEastAsia"/>
                <w:sz w:val="22"/>
                <w:lang w:val="en-US" w:eastAsia="zh-CN"/>
              </w:rPr>
            </w:pPr>
            <w:r>
              <w:rPr>
                <w:rFonts w:hint="eastAsia" w:ascii="宋体" w:hAnsi="宋体" w:cs="宋体"/>
                <w:sz w:val="22"/>
                <w:lang w:val="en-US" w:eastAsia="zh-CN"/>
              </w:rPr>
              <w:t>随州</w:t>
            </w:r>
          </w:p>
        </w:tc>
        <w:tc>
          <w:tcPr>
            <w:tcW w:w="1559" w:type="dxa"/>
            <w:vAlign w:val="center"/>
          </w:tcPr>
          <w:p w14:paraId="5901C739">
            <w:pPr>
              <w:jc w:val="center"/>
              <w:rPr>
                <w:rFonts w:hint="eastAsia" w:ascii="Times New Roman" w:hAnsi="Times New Roman" w:cs="Times New Roman" w:eastAsiaTheme="minorEastAsia"/>
                <w:sz w:val="22"/>
                <w:lang w:val="en-US" w:eastAsia="zh-CN"/>
              </w:rPr>
            </w:pPr>
            <w:r>
              <w:rPr>
                <w:rFonts w:hint="eastAsia" w:ascii="Times New Roman" w:hAnsi="Times New Roman" w:cs="Times New Roman"/>
                <w:sz w:val="22"/>
                <w:lang w:val="en-US" w:eastAsia="zh-CN"/>
              </w:rPr>
              <w:t>4</w:t>
            </w:r>
          </w:p>
        </w:tc>
        <w:tc>
          <w:tcPr>
            <w:tcW w:w="1418" w:type="dxa"/>
            <w:vAlign w:val="center"/>
          </w:tcPr>
          <w:p w14:paraId="125F7B8A">
            <w:pPr>
              <w:jc w:val="center"/>
              <w:rPr>
                <w:rFonts w:hint="eastAsia" w:ascii="Times New Roman" w:hAnsi="Times New Roman" w:cs="Times New Roman" w:eastAsiaTheme="minorEastAsia"/>
                <w:sz w:val="22"/>
                <w:lang w:val="en-US" w:eastAsia="zh-CN"/>
              </w:rPr>
            </w:pPr>
            <w:r>
              <w:rPr>
                <w:rFonts w:hint="eastAsia" w:ascii="Times New Roman" w:hAnsi="Times New Roman" w:cs="Times New Roman"/>
                <w:sz w:val="22"/>
                <w:lang w:val="en-US" w:eastAsia="zh-CN"/>
              </w:rPr>
              <w:t>4</w:t>
            </w:r>
          </w:p>
        </w:tc>
        <w:tc>
          <w:tcPr>
            <w:tcW w:w="1134" w:type="dxa"/>
            <w:vAlign w:val="center"/>
          </w:tcPr>
          <w:p w14:paraId="1DAB6094">
            <w:pPr>
              <w:jc w:val="center"/>
              <w:rPr>
                <w:rFonts w:hint="default" w:ascii="Times New Roman" w:hAnsi="Times New Roman" w:cs="Times New Roman" w:eastAsiaTheme="minorEastAsia"/>
                <w:sz w:val="22"/>
                <w:lang w:val="en-US" w:eastAsia="zh-CN"/>
              </w:rPr>
            </w:pPr>
            <w:r>
              <w:rPr>
                <w:rFonts w:hint="eastAsia" w:ascii="Times New Roman" w:hAnsi="Times New Roman" w:cs="Times New Roman"/>
                <w:sz w:val="22"/>
                <w:lang w:val="en-US" w:eastAsia="zh-CN"/>
              </w:rPr>
              <w:t>100</w:t>
            </w:r>
          </w:p>
        </w:tc>
        <w:tc>
          <w:tcPr>
            <w:tcW w:w="1134" w:type="dxa"/>
            <w:vAlign w:val="center"/>
          </w:tcPr>
          <w:p w14:paraId="5E417267">
            <w:pPr>
              <w:jc w:val="center"/>
              <w:rPr>
                <w:rFonts w:hint="eastAsia" w:ascii="Times New Roman" w:hAnsi="Times New Roman" w:cs="Times New Roman" w:eastAsiaTheme="minorEastAsia"/>
                <w:sz w:val="22"/>
                <w:lang w:val="en-US" w:eastAsia="zh-CN"/>
              </w:rPr>
            </w:pPr>
            <w:r>
              <w:rPr>
                <w:rFonts w:hint="eastAsia" w:ascii="Times New Roman" w:hAnsi="Times New Roman" w:cs="Times New Roman"/>
                <w:sz w:val="22"/>
                <w:lang w:val="en-US" w:eastAsia="zh-CN"/>
              </w:rPr>
              <w:t>4</w:t>
            </w:r>
          </w:p>
        </w:tc>
        <w:tc>
          <w:tcPr>
            <w:tcW w:w="1275" w:type="dxa"/>
            <w:vAlign w:val="center"/>
          </w:tcPr>
          <w:p w14:paraId="68728BDE">
            <w:pPr>
              <w:jc w:val="center"/>
              <w:rPr>
                <w:rFonts w:hint="eastAsia" w:ascii="Times New Roman" w:hAnsi="Times New Roman" w:cs="Times New Roman" w:eastAsiaTheme="minorEastAsia"/>
                <w:sz w:val="22"/>
                <w:lang w:val="en-US" w:eastAsia="zh-CN"/>
              </w:rPr>
            </w:pPr>
            <w:r>
              <w:rPr>
                <w:rFonts w:hint="eastAsia" w:ascii="Times New Roman" w:hAnsi="Times New Roman" w:cs="Times New Roman"/>
                <w:sz w:val="22"/>
                <w:lang w:val="en-US" w:eastAsia="zh-CN"/>
              </w:rPr>
              <w:t>0</w:t>
            </w:r>
          </w:p>
        </w:tc>
        <w:tc>
          <w:tcPr>
            <w:tcW w:w="1207" w:type="dxa"/>
            <w:vAlign w:val="center"/>
          </w:tcPr>
          <w:p w14:paraId="01AE1F59">
            <w:pPr>
              <w:jc w:val="center"/>
              <w:rPr>
                <w:rFonts w:hint="eastAsia" w:ascii="Times New Roman" w:hAnsi="Times New Roman" w:cs="Times New Roman" w:eastAsiaTheme="minorEastAsia"/>
                <w:sz w:val="22"/>
                <w:lang w:val="en-US" w:eastAsia="zh-CN"/>
              </w:rPr>
            </w:pPr>
            <w:r>
              <w:rPr>
                <w:rFonts w:hint="eastAsia" w:ascii="Times New Roman" w:hAnsi="Times New Roman" w:cs="Times New Roman"/>
                <w:sz w:val="22"/>
                <w:lang w:val="en-US" w:eastAsia="zh-CN"/>
              </w:rPr>
              <w:t>0</w:t>
            </w:r>
          </w:p>
        </w:tc>
      </w:tr>
      <w:tr w14:paraId="43846008">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94" w:hRule="atLeast"/>
        </w:trPr>
        <w:tc>
          <w:tcPr>
            <w:tcW w:w="959" w:type="dxa"/>
            <w:vAlign w:val="center"/>
          </w:tcPr>
          <w:p w14:paraId="20A0E80D">
            <w:pPr>
              <w:jc w:val="center"/>
              <w:rPr>
                <w:rFonts w:ascii="宋体" w:hAnsi="宋体" w:cs="宋体"/>
                <w:sz w:val="22"/>
              </w:rPr>
            </w:pPr>
            <w:r>
              <w:rPr>
                <w:rFonts w:hint="eastAsia" w:ascii="宋体" w:hAnsi="宋体" w:cs="宋体"/>
                <w:sz w:val="22"/>
              </w:rPr>
              <w:t>合计</w:t>
            </w:r>
          </w:p>
        </w:tc>
        <w:tc>
          <w:tcPr>
            <w:tcW w:w="1559" w:type="dxa"/>
            <w:shd w:val="clear"/>
            <w:vAlign w:val="center"/>
          </w:tcPr>
          <w:p w14:paraId="7937A8F9">
            <w:pPr>
              <w:jc w:val="center"/>
              <w:rPr>
                <w:rFonts w:hint="eastAsia" w:ascii="Times New Roman" w:hAnsi="Times New Roman" w:cs="Times New Roman" w:eastAsiaTheme="minorEastAsia"/>
                <w:kern w:val="2"/>
                <w:sz w:val="22"/>
                <w:szCs w:val="22"/>
                <w:lang w:val="en-US" w:eastAsia="zh-CN" w:bidi="ar-SA"/>
              </w:rPr>
            </w:pPr>
            <w:r>
              <w:rPr>
                <w:rFonts w:hint="eastAsia" w:ascii="Times New Roman" w:hAnsi="Times New Roman" w:cs="Times New Roman"/>
                <w:sz w:val="22"/>
                <w:lang w:val="en-US" w:eastAsia="zh-CN"/>
              </w:rPr>
              <w:t>4</w:t>
            </w:r>
          </w:p>
        </w:tc>
        <w:tc>
          <w:tcPr>
            <w:tcW w:w="1418" w:type="dxa"/>
            <w:shd w:val="clear"/>
            <w:vAlign w:val="center"/>
          </w:tcPr>
          <w:p w14:paraId="701BCB26">
            <w:pPr>
              <w:jc w:val="center"/>
              <w:rPr>
                <w:rFonts w:hint="eastAsia" w:ascii="Times New Roman" w:hAnsi="Times New Roman" w:cs="Times New Roman" w:eastAsiaTheme="minorEastAsia"/>
                <w:kern w:val="2"/>
                <w:sz w:val="22"/>
                <w:szCs w:val="22"/>
                <w:lang w:val="en-US" w:eastAsia="zh-CN" w:bidi="ar-SA"/>
              </w:rPr>
            </w:pPr>
            <w:r>
              <w:rPr>
                <w:rFonts w:hint="eastAsia" w:ascii="Times New Roman" w:hAnsi="Times New Roman" w:cs="Times New Roman"/>
                <w:sz w:val="22"/>
                <w:lang w:val="en-US" w:eastAsia="zh-CN"/>
              </w:rPr>
              <w:t>4</w:t>
            </w:r>
          </w:p>
        </w:tc>
        <w:tc>
          <w:tcPr>
            <w:tcW w:w="1134" w:type="dxa"/>
            <w:shd w:val="clear"/>
            <w:vAlign w:val="center"/>
          </w:tcPr>
          <w:p w14:paraId="6E43C122">
            <w:pPr>
              <w:jc w:val="center"/>
              <w:rPr>
                <w:rFonts w:hint="default" w:ascii="Times New Roman" w:hAnsi="Times New Roman" w:cs="Times New Roman" w:eastAsiaTheme="minorEastAsia"/>
                <w:kern w:val="2"/>
                <w:sz w:val="22"/>
                <w:szCs w:val="22"/>
                <w:lang w:val="en-US" w:eastAsia="zh-CN" w:bidi="ar-SA"/>
              </w:rPr>
            </w:pPr>
            <w:r>
              <w:rPr>
                <w:rFonts w:hint="eastAsia" w:ascii="Times New Roman" w:hAnsi="Times New Roman" w:cs="Times New Roman"/>
                <w:sz w:val="22"/>
                <w:lang w:val="en-US" w:eastAsia="zh-CN"/>
              </w:rPr>
              <w:t>100</w:t>
            </w:r>
          </w:p>
        </w:tc>
        <w:tc>
          <w:tcPr>
            <w:tcW w:w="1134" w:type="dxa"/>
            <w:shd w:val="clear"/>
            <w:vAlign w:val="center"/>
          </w:tcPr>
          <w:p w14:paraId="0690C483">
            <w:pPr>
              <w:jc w:val="center"/>
              <w:rPr>
                <w:rFonts w:hint="eastAsia" w:ascii="Times New Roman" w:hAnsi="Times New Roman" w:cs="Times New Roman" w:eastAsiaTheme="minorEastAsia"/>
                <w:kern w:val="2"/>
                <w:sz w:val="22"/>
                <w:szCs w:val="22"/>
                <w:lang w:val="en-US" w:eastAsia="zh-CN" w:bidi="ar-SA"/>
              </w:rPr>
            </w:pPr>
            <w:r>
              <w:rPr>
                <w:rFonts w:hint="eastAsia" w:ascii="Times New Roman" w:hAnsi="Times New Roman" w:cs="Times New Roman"/>
                <w:sz w:val="22"/>
                <w:lang w:val="en-US" w:eastAsia="zh-CN"/>
              </w:rPr>
              <w:t>4</w:t>
            </w:r>
          </w:p>
        </w:tc>
        <w:tc>
          <w:tcPr>
            <w:tcW w:w="1275" w:type="dxa"/>
            <w:shd w:val="clear"/>
            <w:vAlign w:val="center"/>
          </w:tcPr>
          <w:p w14:paraId="187F1735">
            <w:pPr>
              <w:jc w:val="center"/>
              <w:rPr>
                <w:rFonts w:hint="eastAsia" w:ascii="Times New Roman" w:hAnsi="Times New Roman" w:cs="Times New Roman" w:eastAsiaTheme="minorEastAsia"/>
                <w:kern w:val="2"/>
                <w:sz w:val="22"/>
                <w:szCs w:val="22"/>
                <w:lang w:val="en-US" w:eastAsia="zh-CN" w:bidi="ar-SA"/>
              </w:rPr>
            </w:pPr>
            <w:r>
              <w:rPr>
                <w:rFonts w:hint="eastAsia" w:ascii="Times New Roman" w:hAnsi="Times New Roman" w:cs="Times New Roman"/>
                <w:sz w:val="22"/>
                <w:lang w:val="en-US" w:eastAsia="zh-CN"/>
              </w:rPr>
              <w:t>0</w:t>
            </w:r>
          </w:p>
        </w:tc>
        <w:tc>
          <w:tcPr>
            <w:tcW w:w="1207" w:type="dxa"/>
            <w:shd w:val="clear"/>
            <w:vAlign w:val="center"/>
          </w:tcPr>
          <w:p w14:paraId="4D37953C">
            <w:pPr>
              <w:jc w:val="center"/>
              <w:rPr>
                <w:rFonts w:hint="eastAsia" w:ascii="Times New Roman" w:hAnsi="Times New Roman" w:cs="Times New Roman" w:eastAsiaTheme="minorEastAsia"/>
                <w:kern w:val="2"/>
                <w:sz w:val="22"/>
                <w:szCs w:val="22"/>
                <w:lang w:val="en-US" w:eastAsia="zh-CN" w:bidi="ar-SA"/>
              </w:rPr>
            </w:pPr>
            <w:r>
              <w:rPr>
                <w:rFonts w:hint="eastAsia" w:ascii="Times New Roman" w:hAnsi="Times New Roman" w:cs="Times New Roman"/>
                <w:sz w:val="22"/>
                <w:lang w:val="en-US" w:eastAsia="zh-CN"/>
              </w:rPr>
              <w:t>0</w:t>
            </w:r>
          </w:p>
        </w:tc>
      </w:tr>
    </w:tbl>
    <w:p w14:paraId="57A0441A">
      <w:pPr>
        <w:ind w:firstLine="420" w:firstLineChars="200"/>
        <w:rPr>
          <w:rFonts w:ascii="楷体_GB2312" w:eastAsia="楷体_GB2312"/>
          <w:szCs w:val="32"/>
        </w:rPr>
      </w:pPr>
    </w:p>
    <w:p w14:paraId="61A562BE">
      <w:pPr>
        <w:ind w:firstLine="480" w:firstLineChars="150"/>
        <w:outlineLvl w:val="1"/>
        <w:rPr>
          <w:rFonts w:ascii="楷体_GB2312" w:eastAsia="楷体_GB2312"/>
          <w:sz w:val="32"/>
          <w:szCs w:val="32"/>
        </w:rPr>
      </w:pPr>
      <w:bookmarkStart w:id="35" w:name="_Toc184200402"/>
      <w:r>
        <w:rPr>
          <w:rFonts w:hint="eastAsia" w:ascii="楷体_GB2312" w:eastAsia="楷体_GB2312"/>
          <w:sz w:val="32"/>
          <w:szCs w:val="32"/>
        </w:rPr>
        <w:t>（二）超标情况</w:t>
      </w:r>
      <w:bookmarkEnd w:id="35"/>
    </w:p>
    <w:p w14:paraId="51C84F9C">
      <w:pPr>
        <w:ind w:firstLine="640" w:firstLineChars="200"/>
        <w:jc w:val="left"/>
        <w:rPr>
          <w:rFonts w:ascii="仿宋_GB2312" w:eastAsia="仿宋_GB2312"/>
          <w:sz w:val="32"/>
          <w:szCs w:val="32"/>
        </w:rPr>
      </w:pPr>
      <w:r>
        <w:rPr>
          <w:rFonts w:hint="eastAsia" w:ascii="仿宋_GB2312" w:eastAsia="仿宋_GB2312"/>
          <w:sz w:val="32"/>
          <w:szCs w:val="32"/>
          <w:lang w:val="en-US" w:eastAsia="zh-CN"/>
        </w:rPr>
        <w:t>根据监测结果，广水市广固科技有限公司、随州市旭东升电子有限公司、湖北新成皮件（集团）有限公司、东风汽车车轮随州有限公司4家企业重金属排放达到相应标准限值，未超标</w:t>
      </w:r>
      <w:r>
        <w:rPr>
          <w:rFonts w:hint="eastAsia" w:ascii="楷体" w:hAnsi="楷体" w:eastAsia="楷体"/>
          <w:sz w:val="32"/>
          <w:szCs w:val="32"/>
        </w:rPr>
        <w:t>。</w:t>
      </w:r>
    </w:p>
    <w:p w14:paraId="558A2AEA">
      <w:pPr>
        <w:spacing w:after="156" w:afterLines="50"/>
        <w:jc w:val="center"/>
        <w:rPr>
          <w:rFonts w:asciiTheme="minorEastAsia" w:hAnsiTheme="minorEastAsia"/>
          <w:b/>
          <w:sz w:val="28"/>
        </w:rPr>
      </w:pPr>
      <w:r>
        <w:rPr>
          <w:rFonts w:asciiTheme="minorEastAsia" w:hAnsiTheme="minorEastAsia"/>
          <w:b/>
          <w:sz w:val="28"/>
        </w:rPr>
        <w:t xml:space="preserve">表8  </w:t>
      </w:r>
      <w:r>
        <w:rPr>
          <w:rFonts w:hint="eastAsia"/>
          <w:b/>
          <w:sz w:val="28"/>
          <w:lang w:val="en-US" w:eastAsia="zh-CN"/>
        </w:rPr>
        <w:t>随州</w:t>
      </w:r>
      <w:r>
        <w:rPr>
          <w:rFonts w:hint="eastAsia" w:hAnsi="宋体"/>
          <w:b/>
          <w:sz w:val="28"/>
        </w:rPr>
        <w:t>市（州）涉重行业企业</w:t>
      </w:r>
      <w:r>
        <w:rPr>
          <w:rFonts w:hint="eastAsia" w:asciiTheme="minorEastAsia" w:hAnsiTheme="minorEastAsia"/>
          <w:b/>
          <w:sz w:val="28"/>
        </w:rPr>
        <w:t>污染物</w:t>
      </w:r>
      <w:r>
        <w:rPr>
          <w:rFonts w:asciiTheme="minorEastAsia" w:hAnsiTheme="minorEastAsia"/>
          <w:b/>
          <w:sz w:val="28"/>
        </w:rPr>
        <w:t>超标情况</w:t>
      </w:r>
    </w:p>
    <w:tbl>
      <w:tblPr>
        <w:tblStyle w:val="11"/>
        <w:tblW w:w="0" w:type="auto"/>
        <w:tblInd w:w="0" w:type="dxa"/>
        <w:tblBorders>
          <w:top w:val="single" w:color="000000" w:sz="8" w:space="0"/>
          <w:left w:val="none" w:color="auto" w:sz="0" w:space="0"/>
          <w:bottom w:val="single" w:color="000000" w:sz="8" w:space="0"/>
          <w:right w:val="none" w:color="auto" w:sz="0" w:space="0"/>
          <w:insideH w:val="single" w:color="000000" w:sz="8" w:space="0"/>
          <w:insideV w:val="single" w:color="000000" w:sz="8" w:space="0"/>
        </w:tblBorders>
        <w:tblLayout w:type="fixed"/>
        <w:tblCellMar>
          <w:top w:w="0" w:type="dxa"/>
          <w:left w:w="108" w:type="dxa"/>
          <w:bottom w:w="0" w:type="dxa"/>
          <w:right w:w="108" w:type="dxa"/>
        </w:tblCellMar>
      </w:tblPr>
      <w:tblGrid>
        <w:gridCol w:w="2322"/>
        <w:gridCol w:w="2464"/>
        <w:gridCol w:w="2126"/>
        <w:gridCol w:w="1610"/>
      </w:tblGrid>
      <w:tr w14:paraId="4E14F418">
        <w:tblPrEx>
          <w:tblBorders>
            <w:top w:val="single" w:color="000000" w:sz="8" w:space="0"/>
            <w:left w:val="none" w:color="auto" w:sz="0" w:space="0"/>
            <w:bottom w:val="single" w:color="000000" w:sz="8" w:space="0"/>
            <w:right w:val="none" w:color="auto" w:sz="0" w:space="0"/>
            <w:insideH w:val="single" w:color="000000" w:sz="8" w:space="0"/>
            <w:insideV w:val="single" w:color="000000" w:sz="8" w:space="0"/>
          </w:tblBorders>
          <w:tblCellMar>
            <w:top w:w="0" w:type="dxa"/>
            <w:left w:w="108" w:type="dxa"/>
            <w:bottom w:w="0" w:type="dxa"/>
            <w:right w:w="108" w:type="dxa"/>
          </w:tblCellMar>
        </w:tblPrEx>
        <w:trPr>
          <w:trHeight w:val="662" w:hRule="exact"/>
          <w:tblHeader/>
        </w:trPr>
        <w:tc>
          <w:tcPr>
            <w:tcW w:w="2322" w:type="dxa"/>
            <w:vAlign w:val="center"/>
          </w:tcPr>
          <w:p w14:paraId="40E18CE7">
            <w:pPr>
              <w:jc w:val="center"/>
              <w:rPr>
                <w:b/>
                <w:sz w:val="22"/>
                <w:szCs w:val="21"/>
              </w:rPr>
            </w:pPr>
            <w:r>
              <w:rPr>
                <w:b/>
                <w:sz w:val="22"/>
                <w:szCs w:val="21"/>
              </w:rPr>
              <w:t>超标污染物</w:t>
            </w:r>
          </w:p>
        </w:tc>
        <w:tc>
          <w:tcPr>
            <w:tcW w:w="2464" w:type="dxa"/>
            <w:vAlign w:val="center"/>
          </w:tcPr>
          <w:p w14:paraId="0E3E2049">
            <w:pPr>
              <w:jc w:val="center"/>
              <w:rPr>
                <w:b/>
                <w:sz w:val="22"/>
                <w:szCs w:val="21"/>
              </w:rPr>
            </w:pPr>
            <w:r>
              <w:rPr>
                <w:b/>
                <w:sz w:val="22"/>
                <w:szCs w:val="21"/>
              </w:rPr>
              <w:t>超标</w:t>
            </w:r>
            <w:r>
              <w:rPr>
                <w:rFonts w:hint="eastAsia"/>
                <w:b/>
                <w:sz w:val="22"/>
                <w:szCs w:val="21"/>
              </w:rPr>
              <w:t>数量</w:t>
            </w:r>
            <w:r>
              <w:rPr>
                <w:b/>
                <w:sz w:val="22"/>
                <w:szCs w:val="21"/>
              </w:rPr>
              <w:t>（</w:t>
            </w:r>
            <w:r>
              <w:rPr>
                <w:rFonts w:hint="eastAsia"/>
                <w:b/>
                <w:sz w:val="22"/>
                <w:szCs w:val="21"/>
              </w:rPr>
              <w:t>个</w:t>
            </w:r>
            <w:r>
              <w:rPr>
                <w:b/>
                <w:sz w:val="22"/>
                <w:szCs w:val="21"/>
              </w:rPr>
              <w:t>）</w:t>
            </w:r>
          </w:p>
        </w:tc>
        <w:tc>
          <w:tcPr>
            <w:tcW w:w="2126" w:type="dxa"/>
            <w:vAlign w:val="center"/>
          </w:tcPr>
          <w:p w14:paraId="345FCA00">
            <w:pPr>
              <w:jc w:val="center"/>
              <w:rPr>
                <w:b/>
                <w:sz w:val="22"/>
                <w:szCs w:val="21"/>
              </w:rPr>
            </w:pPr>
            <w:r>
              <w:rPr>
                <w:b/>
                <w:sz w:val="22"/>
                <w:szCs w:val="21"/>
              </w:rPr>
              <w:t>超标排放口（个）</w:t>
            </w:r>
          </w:p>
        </w:tc>
        <w:tc>
          <w:tcPr>
            <w:tcW w:w="1610" w:type="dxa"/>
            <w:vAlign w:val="center"/>
          </w:tcPr>
          <w:p w14:paraId="42A95667">
            <w:pPr>
              <w:jc w:val="center"/>
              <w:rPr>
                <w:b/>
                <w:sz w:val="22"/>
                <w:szCs w:val="21"/>
              </w:rPr>
            </w:pPr>
            <w:r>
              <w:rPr>
                <w:b/>
                <w:bCs/>
                <w:sz w:val="22"/>
                <w:szCs w:val="21"/>
              </w:rPr>
              <w:t>超标倍数</w:t>
            </w:r>
            <w:r>
              <w:rPr>
                <w:rFonts w:hint="eastAsia"/>
                <w:b/>
                <w:bCs/>
                <w:sz w:val="22"/>
                <w:szCs w:val="21"/>
              </w:rPr>
              <w:t>范围</w:t>
            </w:r>
          </w:p>
        </w:tc>
      </w:tr>
      <w:tr w14:paraId="667131F6">
        <w:tblPrEx>
          <w:tblBorders>
            <w:top w:val="single" w:color="000000" w:sz="8" w:space="0"/>
            <w:left w:val="none" w:color="auto" w:sz="0" w:space="0"/>
            <w:bottom w:val="single" w:color="000000" w:sz="8" w:space="0"/>
            <w:right w:val="none" w:color="auto" w:sz="0" w:space="0"/>
            <w:insideH w:val="single" w:color="000000" w:sz="8" w:space="0"/>
            <w:insideV w:val="single" w:color="000000" w:sz="8" w:space="0"/>
          </w:tblBorders>
          <w:tblCellMar>
            <w:top w:w="0" w:type="dxa"/>
            <w:left w:w="108" w:type="dxa"/>
            <w:bottom w:w="0" w:type="dxa"/>
            <w:right w:w="108" w:type="dxa"/>
          </w:tblCellMar>
        </w:tblPrEx>
        <w:trPr>
          <w:trHeight w:val="431" w:hRule="exact"/>
        </w:trPr>
        <w:tc>
          <w:tcPr>
            <w:tcW w:w="2322" w:type="dxa"/>
            <w:vAlign w:val="center"/>
          </w:tcPr>
          <w:p w14:paraId="69406809">
            <w:pPr>
              <w:rPr>
                <w:sz w:val="22"/>
                <w:szCs w:val="21"/>
              </w:rPr>
            </w:pPr>
            <w:r>
              <w:rPr>
                <w:rFonts w:hint="eastAsia"/>
                <w:sz w:val="22"/>
                <w:szCs w:val="21"/>
              </w:rPr>
              <w:t xml:space="preserve">       </w:t>
            </w:r>
          </w:p>
        </w:tc>
        <w:tc>
          <w:tcPr>
            <w:tcW w:w="2464" w:type="dxa"/>
            <w:vAlign w:val="center"/>
          </w:tcPr>
          <w:p w14:paraId="720AB723">
            <w:pPr>
              <w:jc w:val="center"/>
              <w:rPr>
                <w:rFonts w:hint="eastAsia" w:ascii="Times New Roman" w:hAnsi="Times New Roman" w:cs="Times New Roman" w:eastAsiaTheme="minorEastAsia"/>
                <w:sz w:val="22"/>
                <w:szCs w:val="24"/>
                <w:lang w:val="en-US" w:eastAsia="zh-CN"/>
              </w:rPr>
            </w:pPr>
            <w:r>
              <w:rPr>
                <w:rFonts w:hint="eastAsia" w:ascii="Times New Roman" w:hAnsi="Times New Roman" w:cs="Times New Roman"/>
                <w:sz w:val="22"/>
                <w:szCs w:val="24"/>
                <w:lang w:val="en-US" w:eastAsia="zh-CN"/>
              </w:rPr>
              <w:t>0</w:t>
            </w:r>
          </w:p>
        </w:tc>
        <w:tc>
          <w:tcPr>
            <w:tcW w:w="2126" w:type="dxa"/>
            <w:vAlign w:val="center"/>
          </w:tcPr>
          <w:p w14:paraId="24FB3BC5">
            <w:pPr>
              <w:jc w:val="center"/>
              <w:rPr>
                <w:rFonts w:hint="eastAsia" w:ascii="Times New Roman" w:hAnsi="Times New Roman" w:cs="Times New Roman" w:eastAsiaTheme="minorEastAsia"/>
                <w:sz w:val="22"/>
                <w:szCs w:val="24"/>
                <w:lang w:val="en-US" w:eastAsia="zh-CN"/>
              </w:rPr>
            </w:pPr>
            <w:r>
              <w:rPr>
                <w:rFonts w:hint="eastAsia" w:ascii="Times New Roman" w:hAnsi="Times New Roman" w:cs="Times New Roman"/>
                <w:sz w:val="22"/>
                <w:szCs w:val="24"/>
                <w:lang w:val="en-US" w:eastAsia="zh-CN"/>
              </w:rPr>
              <w:t>0</w:t>
            </w:r>
          </w:p>
        </w:tc>
        <w:tc>
          <w:tcPr>
            <w:tcW w:w="1610" w:type="dxa"/>
            <w:vAlign w:val="center"/>
          </w:tcPr>
          <w:p w14:paraId="490F874C">
            <w:pPr>
              <w:jc w:val="center"/>
              <w:rPr>
                <w:rFonts w:ascii="Times New Roman" w:hAnsi="Times New Roman" w:cs="Times New Roman"/>
                <w:sz w:val="22"/>
                <w:szCs w:val="24"/>
              </w:rPr>
            </w:pPr>
          </w:p>
        </w:tc>
      </w:tr>
      <w:tr w14:paraId="3B2229F0">
        <w:tblPrEx>
          <w:tblBorders>
            <w:top w:val="single" w:color="000000" w:sz="8" w:space="0"/>
            <w:left w:val="none" w:color="auto" w:sz="0" w:space="0"/>
            <w:bottom w:val="single" w:color="000000" w:sz="8" w:space="0"/>
            <w:right w:val="none" w:color="auto" w:sz="0" w:space="0"/>
            <w:insideH w:val="single" w:color="000000" w:sz="8" w:space="0"/>
            <w:insideV w:val="single" w:color="000000" w:sz="8" w:space="0"/>
          </w:tblBorders>
          <w:tblCellMar>
            <w:top w:w="0" w:type="dxa"/>
            <w:left w:w="108" w:type="dxa"/>
            <w:bottom w:w="0" w:type="dxa"/>
            <w:right w:w="108" w:type="dxa"/>
          </w:tblCellMar>
        </w:tblPrEx>
        <w:trPr>
          <w:trHeight w:val="431" w:hRule="exact"/>
        </w:trPr>
        <w:tc>
          <w:tcPr>
            <w:tcW w:w="2322" w:type="dxa"/>
            <w:vAlign w:val="center"/>
          </w:tcPr>
          <w:p w14:paraId="0AA910CC">
            <w:pPr>
              <w:jc w:val="center"/>
              <w:rPr>
                <w:sz w:val="22"/>
                <w:szCs w:val="21"/>
              </w:rPr>
            </w:pPr>
          </w:p>
        </w:tc>
        <w:tc>
          <w:tcPr>
            <w:tcW w:w="2464" w:type="dxa"/>
            <w:vAlign w:val="center"/>
          </w:tcPr>
          <w:p w14:paraId="7BBEB222">
            <w:pPr>
              <w:jc w:val="center"/>
              <w:rPr>
                <w:rFonts w:ascii="Times New Roman" w:hAnsi="Times New Roman" w:cs="Times New Roman"/>
                <w:sz w:val="22"/>
                <w:szCs w:val="24"/>
              </w:rPr>
            </w:pPr>
          </w:p>
        </w:tc>
        <w:tc>
          <w:tcPr>
            <w:tcW w:w="2126" w:type="dxa"/>
            <w:vAlign w:val="center"/>
          </w:tcPr>
          <w:p w14:paraId="65CAA904">
            <w:pPr>
              <w:jc w:val="center"/>
              <w:rPr>
                <w:rFonts w:ascii="Times New Roman" w:hAnsi="Times New Roman" w:cs="Times New Roman"/>
                <w:sz w:val="22"/>
                <w:szCs w:val="24"/>
              </w:rPr>
            </w:pPr>
          </w:p>
        </w:tc>
        <w:tc>
          <w:tcPr>
            <w:tcW w:w="1610" w:type="dxa"/>
            <w:vAlign w:val="center"/>
          </w:tcPr>
          <w:p w14:paraId="2CC7A84F">
            <w:pPr>
              <w:jc w:val="center"/>
              <w:rPr>
                <w:rFonts w:ascii="Times New Roman" w:hAnsi="Times New Roman" w:cs="Times New Roman"/>
                <w:sz w:val="22"/>
                <w:szCs w:val="24"/>
              </w:rPr>
            </w:pPr>
          </w:p>
        </w:tc>
      </w:tr>
    </w:tbl>
    <w:p w14:paraId="441139DA">
      <w:pPr>
        <w:spacing w:before="156" w:beforeLines="50"/>
        <w:outlineLvl w:val="0"/>
        <w:rPr>
          <w:rFonts w:ascii="黑体" w:hAnsi="黑体" w:eastAsia="黑体"/>
          <w:sz w:val="22"/>
          <w:szCs w:val="32"/>
        </w:rPr>
      </w:pPr>
      <w:bookmarkStart w:id="36" w:name="_Toc18964"/>
      <w:bookmarkStart w:id="37" w:name="_Toc17927"/>
    </w:p>
    <w:bookmarkEnd w:id="25"/>
    <w:bookmarkEnd w:id="36"/>
    <w:bookmarkEnd w:id="37"/>
    <w:p w14:paraId="4733C559">
      <w:pPr>
        <w:spacing w:before="156" w:beforeLines="50"/>
        <w:ind w:firstLine="640" w:firstLineChars="200"/>
        <w:outlineLvl w:val="0"/>
        <w:rPr>
          <w:rFonts w:ascii="黑体" w:hAnsi="黑体" w:eastAsia="黑体"/>
          <w:sz w:val="32"/>
          <w:szCs w:val="32"/>
        </w:rPr>
      </w:pPr>
      <w:bookmarkStart w:id="38" w:name="_Toc6642"/>
      <w:bookmarkStart w:id="39" w:name="_Toc184200403"/>
      <w:bookmarkStart w:id="40" w:name="_Toc11797"/>
      <w:r>
        <w:rPr>
          <w:rFonts w:hint="eastAsia" w:ascii="黑体" w:hAnsi="黑体" w:eastAsia="黑体"/>
          <w:sz w:val="32"/>
          <w:szCs w:val="32"/>
        </w:rPr>
        <w:t>七、其他排污单位监测情况</w:t>
      </w:r>
      <w:bookmarkEnd w:id="38"/>
      <w:bookmarkEnd w:id="39"/>
      <w:bookmarkEnd w:id="40"/>
    </w:p>
    <w:p w14:paraId="62E8E02F">
      <w:pPr>
        <w:ind w:firstLine="480" w:firstLineChars="150"/>
        <w:outlineLvl w:val="1"/>
        <w:rPr>
          <w:rFonts w:ascii="楷体_GB2312" w:eastAsia="楷体_GB2312"/>
          <w:sz w:val="32"/>
          <w:szCs w:val="32"/>
        </w:rPr>
      </w:pPr>
      <w:bookmarkStart w:id="41" w:name="_Toc184200404"/>
      <w:r>
        <w:rPr>
          <w:rFonts w:hint="eastAsia" w:ascii="楷体_GB2312" w:eastAsia="楷体_GB2312"/>
          <w:sz w:val="32"/>
          <w:szCs w:val="32"/>
        </w:rPr>
        <w:t>（一）监测情况</w:t>
      </w:r>
      <w:bookmarkEnd w:id="41"/>
    </w:p>
    <w:p w14:paraId="0E817B81">
      <w:pPr>
        <w:ind w:firstLine="640" w:firstLineChars="200"/>
        <w:jc w:val="left"/>
        <w:rPr>
          <w:rFonts w:hint="eastAsia" w:ascii="仿宋_GB2312" w:eastAsia="仿宋_GB2312"/>
          <w:sz w:val="32"/>
          <w:szCs w:val="32"/>
          <w:lang w:val="en-US" w:eastAsia="zh-CN"/>
        </w:rPr>
      </w:pPr>
      <w:r>
        <w:rPr>
          <w:rFonts w:hint="eastAsia" w:ascii="仿宋_GB2312" w:eastAsia="仿宋_GB2312"/>
          <w:sz w:val="32"/>
          <w:szCs w:val="32"/>
          <w:lang w:val="en-US" w:eastAsia="zh-CN"/>
        </w:rPr>
        <w:t>2024年随州市其他类型重点排污单位109家，已监测的重点排污单位45家，其中涉VOCs排放企业3家，为湖北小合再生资源回收利用有限公司、广水市润晟环保材料有限公司、广水市宇泽环保有限公司。</w:t>
      </w:r>
    </w:p>
    <w:p w14:paraId="37A1889C">
      <w:pPr>
        <w:spacing w:after="156" w:afterLines="50"/>
        <w:jc w:val="center"/>
        <w:rPr>
          <w:b/>
          <w:sz w:val="28"/>
        </w:rPr>
      </w:pPr>
      <w:r>
        <w:rPr>
          <w:rFonts w:hAnsi="宋体"/>
          <w:b/>
          <w:sz w:val="28"/>
        </w:rPr>
        <w:t>表</w:t>
      </w:r>
      <w:r>
        <w:rPr>
          <w:b/>
          <w:sz w:val="28"/>
        </w:rPr>
        <w:t xml:space="preserve">9  </w:t>
      </w:r>
      <w:r>
        <w:rPr>
          <w:rFonts w:hint="eastAsia"/>
          <w:b/>
          <w:sz w:val="28"/>
          <w:lang w:val="en-US" w:eastAsia="zh-CN"/>
        </w:rPr>
        <w:t>随州</w:t>
      </w:r>
      <w:r>
        <w:rPr>
          <w:rFonts w:hint="eastAsia" w:hAnsi="宋体"/>
          <w:b/>
          <w:sz w:val="28"/>
        </w:rPr>
        <w:t>市（州）其他</w:t>
      </w:r>
      <w:r>
        <w:rPr>
          <w:rFonts w:hAnsi="宋体"/>
          <w:b/>
          <w:sz w:val="28"/>
        </w:rPr>
        <w:t>排污单位监测情况</w:t>
      </w:r>
    </w:p>
    <w:tbl>
      <w:tblPr>
        <w:tblStyle w:val="11"/>
        <w:tblW w:w="8714" w:type="dxa"/>
        <w:tblInd w:w="0" w:type="dxa"/>
        <w:tblBorders>
          <w:top w:val="single" w:color="auto" w:sz="8" w:space="0"/>
          <w:left w:val="none" w:color="auto" w:sz="0" w:space="0"/>
          <w:bottom w:val="single" w:color="auto" w:sz="8" w:space="0"/>
          <w:right w:val="none" w:color="auto" w:sz="0" w:space="0"/>
          <w:insideH w:val="single" w:color="auto" w:sz="8" w:space="0"/>
          <w:insideV w:val="single" w:color="auto" w:sz="8" w:space="0"/>
        </w:tblBorders>
        <w:tblLayout w:type="fixed"/>
        <w:tblCellMar>
          <w:top w:w="0" w:type="dxa"/>
          <w:left w:w="108" w:type="dxa"/>
          <w:bottom w:w="0" w:type="dxa"/>
          <w:right w:w="108" w:type="dxa"/>
        </w:tblCellMar>
      </w:tblPr>
      <w:tblGrid>
        <w:gridCol w:w="1113"/>
        <w:gridCol w:w="1288"/>
        <w:gridCol w:w="1289"/>
        <w:gridCol w:w="1146"/>
        <w:gridCol w:w="1146"/>
        <w:gridCol w:w="1289"/>
        <w:gridCol w:w="1443"/>
      </w:tblGrid>
      <w:tr w14:paraId="74726904">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1179" w:hRule="atLeast"/>
          <w:tblHeader/>
        </w:trPr>
        <w:tc>
          <w:tcPr>
            <w:tcW w:w="1113" w:type="dxa"/>
            <w:vAlign w:val="center"/>
          </w:tcPr>
          <w:p w14:paraId="4332F9A5">
            <w:pPr>
              <w:widowControl/>
              <w:jc w:val="center"/>
              <w:rPr>
                <w:b/>
                <w:bCs/>
                <w:kern w:val="0"/>
                <w:sz w:val="22"/>
                <w:szCs w:val="21"/>
              </w:rPr>
            </w:pPr>
            <w:r>
              <w:rPr>
                <w:rFonts w:hint="eastAsia"/>
                <w:b/>
                <w:bCs/>
                <w:kern w:val="0"/>
                <w:sz w:val="22"/>
                <w:szCs w:val="21"/>
              </w:rPr>
              <w:t>地 市</w:t>
            </w:r>
          </w:p>
        </w:tc>
        <w:tc>
          <w:tcPr>
            <w:tcW w:w="1288" w:type="dxa"/>
            <w:vAlign w:val="center"/>
          </w:tcPr>
          <w:p w14:paraId="27401836">
            <w:pPr>
              <w:widowControl/>
              <w:jc w:val="center"/>
              <w:rPr>
                <w:b/>
                <w:bCs/>
                <w:kern w:val="0"/>
                <w:sz w:val="22"/>
                <w:szCs w:val="21"/>
              </w:rPr>
            </w:pPr>
            <w:r>
              <w:rPr>
                <w:b/>
                <w:bCs/>
                <w:kern w:val="0"/>
                <w:sz w:val="22"/>
                <w:szCs w:val="21"/>
              </w:rPr>
              <w:t>VOCs排污单位（家）</w:t>
            </w:r>
          </w:p>
        </w:tc>
        <w:tc>
          <w:tcPr>
            <w:tcW w:w="1289" w:type="dxa"/>
            <w:vAlign w:val="center"/>
          </w:tcPr>
          <w:p w14:paraId="57FD0912">
            <w:pPr>
              <w:widowControl/>
              <w:jc w:val="center"/>
              <w:rPr>
                <w:b/>
                <w:bCs/>
                <w:kern w:val="0"/>
                <w:sz w:val="22"/>
                <w:szCs w:val="21"/>
              </w:rPr>
            </w:pPr>
            <w:r>
              <w:rPr>
                <w:rFonts w:hint="eastAsia"/>
                <w:b/>
                <w:bCs/>
                <w:kern w:val="0"/>
                <w:sz w:val="22"/>
                <w:szCs w:val="21"/>
              </w:rPr>
              <w:t>已监测</w:t>
            </w:r>
            <w:r>
              <w:rPr>
                <w:b/>
                <w:bCs/>
                <w:kern w:val="0"/>
                <w:sz w:val="22"/>
                <w:szCs w:val="21"/>
              </w:rPr>
              <w:t>（家）</w:t>
            </w:r>
          </w:p>
        </w:tc>
        <w:tc>
          <w:tcPr>
            <w:tcW w:w="1146" w:type="dxa"/>
            <w:vAlign w:val="center"/>
          </w:tcPr>
          <w:p w14:paraId="546B4112">
            <w:pPr>
              <w:widowControl/>
              <w:jc w:val="center"/>
              <w:rPr>
                <w:b/>
                <w:bCs/>
                <w:kern w:val="0"/>
                <w:sz w:val="22"/>
                <w:szCs w:val="21"/>
              </w:rPr>
            </w:pPr>
            <w:r>
              <w:rPr>
                <w:rFonts w:hint="eastAsia"/>
                <w:b/>
                <w:bCs/>
                <w:kern w:val="0"/>
                <w:sz w:val="22"/>
                <w:szCs w:val="21"/>
              </w:rPr>
              <w:t>监测比例</w:t>
            </w:r>
            <w:r>
              <w:rPr>
                <w:b/>
                <w:bCs/>
                <w:kern w:val="0"/>
                <w:sz w:val="22"/>
                <w:szCs w:val="21"/>
              </w:rPr>
              <w:t>（%）</w:t>
            </w:r>
          </w:p>
        </w:tc>
        <w:tc>
          <w:tcPr>
            <w:tcW w:w="1146" w:type="dxa"/>
            <w:vAlign w:val="center"/>
          </w:tcPr>
          <w:p w14:paraId="52F97921">
            <w:pPr>
              <w:widowControl/>
              <w:jc w:val="center"/>
              <w:rPr>
                <w:b/>
                <w:bCs/>
                <w:kern w:val="0"/>
                <w:sz w:val="22"/>
                <w:szCs w:val="21"/>
              </w:rPr>
            </w:pPr>
            <w:r>
              <w:rPr>
                <w:rFonts w:hint="eastAsia"/>
                <w:b/>
                <w:bCs/>
                <w:kern w:val="0"/>
                <w:sz w:val="22"/>
                <w:szCs w:val="21"/>
              </w:rPr>
              <w:t>达标</w:t>
            </w:r>
            <w:r>
              <w:rPr>
                <w:b/>
                <w:bCs/>
                <w:kern w:val="0"/>
                <w:sz w:val="22"/>
                <w:szCs w:val="21"/>
              </w:rPr>
              <w:t>排污单位（家）</w:t>
            </w:r>
          </w:p>
        </w:tc>
        <w:tc>
          <w:tcPr>
            <w:tcW w:w="1289" w:type="dxa"/>
            <w:vAlign w:val="center"/>
          </w:tcPr>
          <w:p w14:paraId="798952A4">
            <w:pPr>
              <w:widowControl/>
              <w:jc w:val="center"/>
              <w:rPr>
                <w:b/>
                <w:bCs/>
                <w:kern w:val="0"/>
                <w:sz w:val="22"/>
                <w:szCs w:val="21"/>
              </w:rPr>
            </w:pPr>
            <w:r>
              <w:rPr>
                <w:rFonts w:hint="eastAsia"/>
                <w:b/>
                <w:bCs/>
                <w:kern w:val="0"/>
                <w:sz w:val="22"/>
                <w:szCs w:val="21"/>
              </w:rPr>
              <w:t>超标</w:t>
            </w:r>
            <w:r>
              <w:rPr>
                <w:b/>
                <w:bCs/>
                <w:kern w:val="0"/>
                <w:sz w:val="22"/>
                <w:szCs w:val="21"/>
              </w:rPr>
              <w:t>排污单位（家）</w:t>
            </w:r>
          </w:p>
        </w:tc>
        <w:tc>
          <w:tcPr>
            <w:tcW w:w="1443" w:type="dxa"/>
            <w:vAlign w:val="center"/>
          </w:tcPr>
          <w:p w14:paraId="7B79F0E7">
            <w:pPr>
              <w:widowControl/>
              <w:jc w:val="center"/>
              <w:rPr>
                <w:b/>
                <w:bCs/>
                <w:kern w:val="0"/>
                <w:sz w:val="22"/>
                <w:szCs w:val="21"/>
              </w:rPr>
            </w:pPr>
            <w:r>
              <w:rPr>
                <w:rFonts w:hint="eastAsia"/>
                <w:b/>
                <w:bCs/>
                <w:kern w:val="0"/>
                <w:sz w:val="22"/>
                <w:szCs w:val="21"/>
              </w:rPr>
              <w:t>超标率</w:t>
            </w:r>
          </w:p>
        </w:tc>
      </w:tr>
      <w:tr w14:paraId="5B963FFA">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102" w:hRule="atLeast"/>
        </w:trPr>
        <w:tc>
          <w:tcPr>
            <w:tcW w:w="1113" w:type="dxa"/>
            <w:vAlign w:val="center"/>
          </w:tcPr>
          <w:p w14:paraId="6AE874FF">
            <w:pPr>
              <w:jc w:val="center"/>
              <w:rPr>
                <w:rFonts w:hint="eastAsia" w:ascii="宋体" w:hAnsi="宋体" w:cs="宋体" w:eastAsiaTheme="minorEastAsia"/>
                <w:sz w:val="22"/>
                <w:szCs w:val="24"/>
                <w:lang w:val="en-US" w:eastAsia="zh-CN"/>
              </w:rPr>
            </w:pPr>
            <w:r>
              <w:rPr>
                <w:rFonts w:hint="eastAsia" w:ascii="宋体" w:hAnsi="宋体" w:cs="宋体"/>
                <w:sz w:val="22"/>
                <w:szCs w:val="24"/>
                <w:lang w:val="en-US" w:eastAsia="zh-CN"/>
              </w:rPr>
              <w:t>随州</w:t>
            </w:r>
          </w:p>
        </w:tc>
        <w:tc>
          <w:tcPr>
            <w:tcW w:w="1288" w:type="dxa"/>
            <w:vAlign w:val="center"/>
          </w:tcPr>
          <w:p w14:paraId="7EBD0584">
            <w:pPr>
              <w:jc w:val="center"/>
              <w:rPr>
                <w:rFonts w:hint="eastAsia" w:ascii="Times New Roman" w:hAnsi="Times New Roman" w:cs="Times New Roman" w:eastAsiaTheme="minorEastAsia"/>
                <w:sz w:val="22"/>
                <w:szCs w:val="24"/>
                <w:lang w:val="en-US" w:eastAsia="zh-CN"/>
              </w:rPr>
            </w:pPr>
            <w:r>
              <w:rPr>
                <w:rFonts w:hint="eastAsia" w:ascii="Times New Roman" w:hAnsi="Times New Roman" w:cs="Times New Roman"/>
                <w:sz w:val="22"/>
                <w:szCs w:val="24"/>
                <w:lang w:val="en-US" w:eastAsia="zh-CN"/>
              </w:rPr>
              <w:t>3</w:t>
            </w:r>
          </w:p>
        </w:tc>
        <w:tc>
          <w:tcPr>
            <w:tcW w:w="1289" w:type="dxa"/>
            <w:vAlign w:val="center"/>
          </w:tcPr>
          <w:p w14:paraId="5D6A756F">
            <w:pPr>
              <w:jc w:val="center"/>
              <w:rPr>
                <w:rFonts w:hint="eastAsia" w:ascii="Times New Roman" w:hAnsi="Times New Roman" w:cs="Times New Roman" w:eastAsiaTheme="minorEastAsia"/>
                <w:sz w:val="22"/>
                <w:szCs w:val="24"/>
                <w:lang w:val="en-US" w:eastAsia="zh-CN"/>
              </w:rPr>
            </w:pPr>
            <w:r>
              <w:rPr>
                <w:rFonts w:hint="eastAsia" w:ascii="Times New Roman" w:hAnsi="Times New Roman" w:cs="Times New Roman"/>
                <w:sz w:val="22"/>
                <w:szCs w:val="24"/>
                <w:lang w:val="en-US" w:eastAsia="zh-CN"/>
              </w:rPr>
              <w:t>3</w:t>
            </w:r>
          </w:p>
        </w:tc>
        <w:tc>
          <w:tcPr>
            <w:tcW w:w="1146" w:type="dxa"/>
            <w:vAlign w:val="center"/>
          </w:tcPr>
          <w:p w14:paraId="5C5D22CA">
            <w:pPr>
              <w:jc w:val="center"/>
              <w:rPr>
                <w:rFonts w:hint="default" w:ascii="Times New Roman" w:hAnsi="Times New Roman" w:cs="Times New Roman" w:eastAsiaTheme="minorEastAsia"/>
                <w:sz w:val="22"/>
                <w:szCs w:val="24"/>
                <w:lang w:val="en-US" w:eastAsia="zh-CN"/>
              </w:rPr>
            </w:pPr>
            <w:r>
              <w:rPr>
                <w:rFonts w:hint="eastAsia" w:ascii="Times New Roman" w:hAnsi="Times New Roman" w:cs="Times New Roman"/>
                <w:sz w:val="22"/>
                <w:szCs w:val="24"/>
                <w:lang w:val="en-US" w:eastAsia="zh-CN"/>
              </w:rPr>
              <w:t>100</w:t>
            </w:r>
          </w:p>
        </w:tc>
        <w:tc>
          <w:tcPr>
            <w:tcW w:w="1146" w:type="dxa"/>
            <w:vAlign w:val="center"/>
          </w:tcPr>
          <w:p w14:paraId="735D6899">
            <w:pPr>
              <w:jc w:val="center"/>
              <w:rPr>
                <w:rFonts w:hint="eastAsia" w:ascii="Times New Roman" w:hAnsi="Times New Roman" w:cs="Times New Roman" w:eastAsiaTheme="minorEastAsia"/>
                <w:sz w:val="22"/>
                <w:szCs w:val="24"/>
                <w:lang w:val="en-US" w:eastAsia="zh-CN"/>
              </w:rPr>
            </w:pPr>
            <w:r>
              <w:rPr>
                <w:rFonts w:hint="eastAsia" w:ascii="Times New Roman" w:hAnsi="Times New Roman" w:cs="Times New Roman"/>
                <w:sz w:val="22"/>
                <w:szCs w:val="24"/>
                <w:lang w:val="en-US" w:eastAsia="zh-CN"/>
              </w:rPr>
              <w:t>2</w:t>
            </w:r>
          </w:p>
        </w:tc>
        <w:tc>
          <w:tcPr>
            <w:tcW w:w="1289" w:type="dxa"/>
            <w:vAlign w:val="center"/>
          </w:tcPr>
          <w:p w14:paraId="2DDAE30F">
            <w:pPr>
              <w:jc w:val="center"/>
              <w:rPr>
                <w:rFonts w:hint="eastAsia" w:ascii="Times New Roman" w:hAnsi="Times New Roman" w:cs="Times New Roman" w:eastAsiaTheme="minorEastAsia"/>
                <w:sz w:val="22"/>
                <w:szCs w:val="24"/>
                <w:lang w:val="en-US" w:eastAsia="zh-CN"/>
              </w:rPr>
            </w:pPr>
            <w:r>
              <w:rPr>
                <w:rFonts w:hint="eastAsia" w:ascii="Times New Roman" w:hAnsi="Times New Roman" w:cs="Times New Roman"/>
                <w:sz w:val="22"/>
                <w:szCs w:val="24"/>
                <w:lang w:val="en-US" w:eastAsia="zh-CN"/>
              </w:rPr>
              <w:t>1</w:t>
            </w:r>
          </w:p>
        </w:tc>
        <w:tc>
          <w:tcPr>
            <w:tcW w:w="1443" w:type="dxa"/>
            <w:vAlign w:val="center"/>
          </w:tcPr>
          <w:p w14:paraId="3BA341A2">
            <w:pPr>
              <w:jc w:val="center"/>
              <w:rPr>
                <w:rFonts w:hint="default" w:ascii="Times New Roman" w:hAnsi="Times New Roman" w:eastAsia="宋体" w:cs="Times New Roman"/>
                <w:sz w:val="22"/>
                <w:szCs w:val="24"/>
                <w:lang w:val="en-US" w:eastAsia="zh-CN"/>
              </w:rPr>
            </w:pPr>
            <w:r>
              <w:rPr>
                <w:rFonts w:hint="eastAsia" w:ascii="Times New Roman" w:hAnsi="Times New Roman" w:eastAsia="宋体" w:cs="Times New Roman"/>
                <w:sz w:val="22"/>
                <w:szCs w:val="24"/>
                <w:lang w:val="en-US" w:eastAsia="zh-CN"/>
              </w:rPr>
              <w:t>33.3%</w:t>
            </w:r>
          </w:p>
        </w:tc>
      </w:tr>
      <w:tr w14:paraId="447F6CAB">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102" w:hRule="atLeast"/>
        </w:trPr>
        <w:tc>
          <w:tcPr>
            <w:tcW w:w="1113" w:type="dxa"/>
            <w:vAlign w:val="center"/>
          </w:tcPr>
          <w:p w14:paraId="4380B19C">
            <w:pPr>
              <w:jc w:val="center"/>
              <w:rPr>
                <w:rFonts w:ascii="宋体" w:hAnsi="宋体" w:cs="宋体"/>
                <w:sz w:val="22"/>
                <w:szCs w:val="24"/>
              </w:rPr>
            </w:pPr>
            <w:r>
              <w:rPr>
                <w:rFonts w:hint="eastAsia" w:ascii="宋体" w:hAnsi="宋体" w:cs="宋体"/>
                <w:sz w:val="22"/>
                <w:szCs w:val="24"/>
              </w:rPr>
              <w:t>合计</w:t>
            </w:r>
          </w:p>
        </w:tc>
        <w:tc>
          <w:tcPr>
            <w:tcW w:w="1288" w:type="dxa"/>
            <w:shd w:val="clear"/>
            <w:vAlign w:val="center"/>
          </w:tcPr>
          <w:p w14:paraId="66511ABD">
            <w:pPr>
              <w:jc w:val="center"/>
              <w:rPr>
                <w:rFonts w:hint="eastAsia" w:ascii="Times New Roman" w:hAnsi="Times New Roman" w:cs="Times New Roman" w:eastAsiaTheme="minorEastAsia"/>
                <w:kern w:val="2"/>
                <w:sz w:val="22"/>
                <w:szCs w:val="24"/>
                <w:lang w:val="en-US" w:eastAsia="zh-CN" w:bidi="ar-SA"/>
              </w:rPr>
            </w:pPr>
            <w:r>
              <w:rPr>
                <w:rFonts w:hint="eastAsia" w:ascii="Times New Roman" w:hAnsi="Times New Roman" w:cs="Times New Roman"/>
                <w:sz w:val="22"/>
                <w:szCs w:val="24"/>
                <w:lang w:val="en-US" w:eastAsia="zh-CN"/>
              </w:rPr>
              <w:t>3</w:t>
            </w:r>
          </w:p>
        </w:tc>
        <w:tc>
          <w:tcPr>
            <w:tcW w:w="1289" w:type="dxa"/>
            <w:shd w:val="clear"/>
            <w:vAlign w:val="center"/>
          </w:tcPr>
          <w:p w14:paraId="4C3795DD">
            <w:pPr>
              <w:jc w:val="center"/>
              <w:rPr>
                <w:rFonts w:hint="eastAsia" w:ascii="Times New Roman" w:hAnsi="Times New Roman" w:cs="Times New Roman" w:eastAsiaTheme="minorEastAsia"/>
                <w:kern w:val="2"/>
                <w:sz w:val="22"/>
                <w:szCs w:val="24"/>
                <w:lang w:val="en-US" w:eastAsia="zh-CN" w:bidi="ar-SA"/>
              </w:rPr>
            </w:pPr>
            <w:r>
              <w:rPr>
                <w:rFonts w:hint="eastAsia" w:ascii="Times New Roman" w:hAnsi="Times New Roman" w:cs="Times New Roman"/>
                <w:sz w:val="22"/>
                <w:szCs w:val="24"/>
                <w:lang w:val="en-US" w:eastAsia="zh-CN"/>
              </w:rPr>
              <w:t>3</w:t>
            </w:r>
          </w:p>
        </w:tc>
        <w:tc>
          <w:tcPr>
            <w:tcW w:w="1146" w:type="dxa"/>
            <w:shd w:val="clear"/>
            <w:vAlign w:val="center"/>
          </w:tcPr>
          <w:p w14:paraId="67209153">
            <w:pPr>
              <w:jc w:val="center"/>
              <w:rPr>
                <w:rFonts w:hint="default" w:ascii="Times New Roman" w:hAnsi="Times New Roman" w:cs="Times New Roman" w:eastAsiaTheme="minorEastAsia"/>
                <w:kern w:val="2"/>
                <w:sz w:val="22"/>
                <w:szCs w:val="24"/>
                <w:lang w:val="en-US" w:eastAsia="zh-CN" w:bidi="ar-SA"/>
              </w:rPr>
            </w:pPr>
            <w:r>
              <w:rPr>
                <w:rFonts w:hint="eastAsia" w:ascii="Times New Roman" w:hAnsi="Times New Roman" w:cs="Times New Roman"/>
                <w:sz w:val="22"/>
                <w:szCs w:val="24"/>
                <w:lang w:val="en-US" w:eastAsia="zh-CN"/>
              </w:rPr>
              <w:t>100</w:t>
            </w:r>
          </w:p>
        </w:tc>
        <w:tc>
          <w:tcPr>
            <w:tcW w:w="1146" w:type="dxa"/>
            <w:shd w:val="clear"/>
            <w:vAlign w:val="center"/>
          </w:tcPr>
          <w:p w14:paraId="68F66C51">
            <w:pPr>
              <w:jc w:val="center"/>
              <w:rPr>
                <w:rFonts w:hint="eastAsia" w:ascii="Times New Roman" w:hAnsi="Times New Roman" w:cs="Times New Roman" w:eastAsiaTheme="minorEastAsia"/>
                <w:kern w:val="2"/>
                <w:sz w:val="22"/>
                <w:szCs w:val="24"/>
                <w:lang w:val="en-US" w:eastAsia="zh-CN" w:bidi="ar-SA"/>
              </w:rPr>
            </w:pPr>
            <w:r>
              <w:rPr>
                <w:rFonts w:hint="eastAsia" w:ascii="Times New Roman" w:hAnsi="Times New Roman" w:cs="Times New Roman"/>
                <w:sz w:val="22"/>
                <w:szCs w:val="24"/>
                <w:lang w:val="en-US" w:eastAsia="zh-CN"/>
              </w:rPr>
              <w:t>2</w:t>
            </w:r>
          </w:p>
        </w:tc>
        <w:tc>
          <w:tcPr>
            <w:tcW w:w="1289" w:type="dxa"/>
            <w:shd w:val="clear"/>
            <w:vAlign w:val="center"/>
          </w:tcPr>
          <w:p w14:paraId="58CFE81A">
            <w:pPr>
              <w:jc w:val="center"/>
              <w:rPr>
                <w:rFonts w:hint="eastAsia" w:ascii="Times New Roman" w:hAnsi="Times New Roman" w:cs="Times New Roman" w:eastAsiaTheme="minorEastAsia"/>
                <w:kern w:val="2"/>
                <w:sz w:val="22"/>
                <w:szCs w:val="24"/>
                <w:lang w:val="en-US" w:eastAsia="zh-CN" w:bidi="ar-SA"/>
              </w:rPr>
            </w:pPr>
            <w:r>
              <w:rPr>
                <w:rFonts w:hint="eastAsia" w:ascii="Times New Roman" w:hAnsi="Times New Roman" w:cs="Times New Roman"/>
                <w:sz w:val="22"/>
                <w:szCs w:val="24"/>
                <w:lang w:val="en-US" w:eastAsia="zh-CN"/>
              </w:rPr>
              <w:t>1</w:t>
            </w:r>
          </w:p>
        </w:tc>
        <w:tc>
          <w:tcPr>
            <w:tcW w:w="1443" w:type="dxa"/>
            <w:shd w:val="clear"/>
            <w:vAlign w:val="center"/>
          </w:tcPr>
          <w:p w14:paraId="283A2DBE">
            <w:pPr>
              <w:jc w:val="center"/>
              <w:rPr>
                <w:rFonts w:hint="default" w:ascii="Times New Roman" w:hAnsi="Times New Roman" w:eastAsia="宋体" w:cs="Times New Roman"/>
                <w:kern w:val="2"/>
                <w:sz w:val="22"/>
                <w:szCs w:val="24"/>
                <w:lang w:val="en-US" w:eastAsia="zh-CN" w:bidi="ar-SA"/>
              </w:rPr>
            </w:pPr>
            <w:r>
              <w:rPr>
                <w:rFonts w:hint="eastAsia" w:ascii="Times New Roman" w:hAnsi="Times New Roman" w:eastAsia="宋体" w:cs="Times New Roman"/>
                <w:sz w:val="22"/>
                <w:szCs w:val="24"/>
                <w:lang w:val="en-US" w:eastAsia="zh-CN"/>
              </w:rPr>
              <w:t>33.3%</w:t>
            </w:r>
          </w:p>
        </w:tc>
      </w:tr>
    </w:tbl>
    <w:p w14:paraId="54ED9F94">
      <w:pPr>
        <w:ind w:firstLine="440" w:firstLineChars="200"/>
        <w:rPr>
          <w:rFonts w:ascii="楷体_GB2312" w:eastAsia="楷体_GB2312"/>
          <w:sz w:val="22"/>
          <w:szCs w:val="32"/>
        </w:rPr>
      </w:pPr>
    </w:p>
    <w:p w14:paraId="7C54F617">
      <w:pPr>
        <w:ind w:firstLine="480" w:firstLineChars="150"/>
        <w:outlineLvl w:val="1"/>
        <w:rPr>
          <w:rFonts w:ascii="楷体_GB2312" w:eastAsia="楷体_GB2312"/>
          <w:sz w:val="32"/>
          <w:szCs w:val="32"/>
        </w:rPr>
      </w:pPr>
      <w:bookmarkStart w:id="42" w:name="_Toc184200405"/>
      <w:r>
        <w:rPr>
          <w:rFonts w:hint="eastAsia" w:ascii="楷体_GB2312" w:eastAsia="楷体_GB2312"/>
          <w:sz w:val="32"/>
          <w:szCs w:val="32"/>
        </w:rPr>
        <w:t>（二）超标情况</w:t>
      </w:r>
      <w:bookmarkEnd w:id="42"/>
    </w:p>
    <w:p w14:paraId="6E60E447">
      <w:pPr>
        <w:ind w:firstLine="640" w:firstLineChars="200"/>
        <w:jc w:val="left"/>
        <w:rPr>
          <w:rFonts w:hint="eastAsia" w:ascii="仿宋_GB2312" w:eastAsia="仿宋_GB2312"/>
          <w:sz w:val="32"/>
          <w:szCs w:val="32"/>
          <w:lang w:val="en-US" w:eastAsia="zh-CN"/>
        </w:rPr>
      </w:pPr>
      <w:r>
        <w:rPr>
          <w:rFonts w:hint="eastAsia" w:ascii="仿宋_GB2312" w:eastAsia="仿宋_GB2312"/>
          <w:sz w:val="32"/>
          <w:szCs w:val="32"/>
          <w:lang w:val="en-US" w:eastAsia="zh-CN"/>
        </w:rPr>
        <w:t>湖北小合再生资源回收利用有限公司装卸贮存废气排口非甲烷总烃超标、湖北巴特旺化肥有限公司热风炉排放口颗粒物超标。</w:t>
      </w:r>
    </w:p>
    <w:p w14:paraId="7459145F">
      <w:pPr>
        <w:spacing w:after="156" w:afterLines="50"/>
        <w:jc w:val="center"/>
        <w:rPr>
          <w:rFonts w:hAnsi="宋体"/>
          <w:b/>
          <w:sz w:val="28"/>
        </w:rPr>
      </w:pPr>
      <w:r>
        <w:rPr>
          <w:rFonts w:hAnsi="宋体"/>
          <w:b/>
          <w:sz w:val="28"/>
        </w:rPr>
        <w:t>表10</w:t>
      </w:r>
      <w:r>
        <w:rPr>
          <w:rFonts w:hint="eastAsia" w:hAnsi="宋体"/>
          <w:b/>
          <w:sz w:val="28"/>
        </w:rPr>
        <w:t xml:space="preserve">  </w:t>
      </w:r>
      <w:r>
        <w:rPr>
          <w:rFonts w:hint="eastAsia"/>
          <w:b/>
          <w:sz w:val="28"/>
          <w:lang w:val="en-US" w:eastAsia="zh-CN"/>
        </w:rPr>
        <w:t>随州</w:t>
      </w:r>
      <w:r>
        <w:rPr>
          <w:rFonts w:hint="eastAsia" w:hAnsi="宋体"/>
          <w:b/>
          <w:sz w:val="28"/>
        </w:rPr>
        <w:t>市（州）其他</w:t>
      </w:r>
      <w:r>
        <w:rPr>
          <w:rFonts w:hAnsi="宋体"/>
          <w:b/>
          <w:sz w:val="28"/>
        </w:rPr>
        <w:t>排污单位</w:t>
      </w:r>
      <w:r>
        <w:rPr>
          <w:rFonts w:hint="eastAsia" w:hAnsi="宋体"/>
          <w:b/>
          <w:sz w:val="28"/>
        </w:rPr>
        <w:t>污染物</w:t>
      </w:r>
      <w:r>
        <w:rPr>
          <w:rFonts w:hAnsi="宋体"/>
          <w:b/>
          <w:sz w:val="28"/>
        </w:rPr>
        <w:t>超标情况</w:t>
      </w:r>
    </w:p>
    <w:tbl>
      <w:tblPr>
        <w:tblStyle w:val="11"/>
        <w:tblW w:w="0" w:type="auto"/>
        <w:tblInd w:w="0" w:type="dxa"/>
        <w:tblBorders>
          <w:top w:val="single" w:color="000000" w:sz="8" w:space="0"/>
          <w:left w:val="none" w:color="auto" w:sz="0" w:space="0"/>
          <w:bottom w:val="single" w:color="000000" w:sz="8" w:space="0"/>
          <w:right w:val="none" w:color="auto" w:sz="0" w:space="0"/>
          <w:insideH w:val="single" w:color="000000" w:sz="8" w:space="0"/>
          <w:insideV w:val="single" w:color="000000" w:sz="8" w:space="0"/>
        </w:tblBorders>
        <w:tblLayout w:type="fixed"/>
        <w:tblCellMar>
          <w:top w:w="0" w:type="dxa"/>
          <w:left w:w="108" w:type="dxa"/>
          <w:bottom w:w="0" w:type="dxa"/>
          <w:right w:w="108" w:type="dxa"/>
        </w:tblCellMar>
      </w:tblPr>
      <w:tblGrid>
        <w:gridCol w:w="2347"/>
        <w:gridCol w:w="2490"/>
        <w:gridCol w:w="2148"/>
        <w:gridCol w:w="1627"/>
      </w:tblGrid>
      <w:tr w14:paraId="72896A26">
        <w:tblPrEx>
          <w:tblBorders>
            <w:top w:val="single" w:color="000000" w:sz="8" w:space="0"/>
            <w:left w:val="none" w:color="auto" w:sz="0" w:space="0"/>
            <w:bottom w:val="single" w:color="000000" w:sz="8" w:space="0"/>
            <w:right w:val="none" w:color="auto" w:sz="0" w:space="0"/>
            <w:insideH w:val="single" w:color="000000" w:sz="8" w:space="0"/>
            <w:insideV w:val="single" w:color="000000" w:sz="8" w:space="0"/>
          </w:tblBorders>
          <w:tblCellMar>
            <w:top w:w="0" w:type="dxa"/>
            <w:left w:w="108" w:type="dxa"/>
            <w:bottom w:w="0" w:type="dxa"/>
            <w:right w:w="108" w:type="dxa"/>
          </w:tblCellMar>
        </w:tblPrEx>
        <w:trPr>
          <w:trHeight w:val="730" w:hRule="exact"/>
          <w:tblHeader/>
        </w:trPr>
        <w:tc>
          <w:tcPr>
            <w:tcW w:w="2347" w:type="dxa"/>
            <w:tcBorders>
              <w:bottom w:val="single" w:color="000000" w:sz="8" w:space="0"/>
            </w:tcBorders>
            <w:vAlign w:val="center"/>
          </w:tcPr>
          <w:p w14:paraId="643EDC30">
            <w:pPr>
              <w:jc w:val="center"/>
              <w:rPr>
                <w:b/>
                <w:sz w:val="22"/>
                <w:szCs w:val="21"/>
              </w:rPr>
            </w:pPr>
            <w:r>
              <w:rPr>
                <w:b/>
                <w:sz w:val="22"/>
                <w:szCs w:val="21"/>
              </w:rPr>
              <w:t>超标污染物</w:t>
            </w:r>
          </w:p>
        </w:tc>
        <w:tc>
          <w:tcPr>
            <w:tcW w:w="2490" w:type="dxa"/>
            <w:tcBorders>
              <w:bottom w:val="single" w:color="000000" w:sz="8" w:space="0"/>
            </w:tcBorders>
            <w:vAlign w:val="center"/>
          </w:tcPr>
          <w:p w14:paraId="2E814FBA">
            <w:pPr>
              <w:jc w:val="center"/>
              <w:rPr>
                <w:b/>
                <w:sz w:val="22"/>
                <w:szCs w:val="21"/>
              </w:rPr>
            </w:pPr>
            <w:r>
              <w:rPr>
                <w:b/>
                <w:sz w:val="22"/>
                <w:szCs w:val="21"/>
              </w:rPr>
              <w:t>超标</w:t>
            </w:r>
            <w:r>
              <w:rPr>
                <w:rFonts w:hint="eastAsia"/>
                <w:b/>
                <w:sz w:val="22"/>
                <w:szCs w:val="21"/>
              </w:rPr>
              <w:t>排污单位</w:t>
            </w:r>
            <w:r>
              <w:rPr>
                <w:b/>
                <w:sz w:val="22"/>
                <w:szCs w:val="21"/>
              </w:rPr>
              <w:t>（家）</w:t>
            </w:r>
          </w:p>
        </w:tc>
        <w:tc>
          <w:tcPr>
            <w:tcW w:w="2148" w:type="dxa"/>
            <w:tcBorders>
              <w:bottom w:val="single" w:color="000000" w:sz="8" w:space="0"/>
            </w:tcBorders>
            <w:vAlign w:val="center"/>
          </w:tcPr>
          <w:p w14:paraId="29FB5095">
            <w:pPr>
              <w:jc w:val="center"/>
              <w:rPr>
                <w:b/>
                <w:sz w:val="22"/>
                <w:szCs w:val="21"/>
              </w:rPr>
            </w:pPr>
            <w:r>
              <w:rPr>
                <w:b/>
                <w:sz w:val="22"/>
                <w:szCs w:val="21"/>
              </w:rPr>
              <w:t>超标排放口（个）</w:t>
            </w:r>
          </w:p>
        </w:tc>
        <w:tc>
          <w:tcPr>
            <w:tcW w:w="1627" w:type="dxa"/>
            <w:tcBorders>
              <w:bottom w:val="single" w:color="000000" w:sz="8" w:space="0"/>
            </w:tcBorders>
            <w:vAlign w:val="center"/>
          </w:tcPr>
          <w:p w14:paraId="47F348F0">
            <w:pPr>
              <w:jc w:val="center"/>
              <w:rPr>
                <w:b/>
                <w:sz w:val="22"/>
                <w:szCs w:val="21"/>
              </w:rPr>
            </w:pPr>
            <w:r>
              <w:rPr>
                <w:b/>
                <w:bCs/>
                <w:sz w:val="22"/>
                <w:szCs w:val="21"/>
              </w:rPr>
              <w:t>超标倍数</w:t>
            </w:r>
            <w:r>
              <w:rPr>
                <w:rFonts w:hint="eastAsia"/>
                <w:b/>
                <w:bCs/>
                <w:sz w:val="22"/>
                <w:szCs w:val="21"/>
              </w:rPr>
              <w:t>范围</w:t>
            </w:r>
          </w:p>
        </w:tc>
      </w:tr>
      <w:tr w14:paraId="47467641">
        <w:tblPrEx>
          <w:tblBorders>
            <w:top w:val="single" w:color="000000" w:sz="8" w:space="0"/>
            <w:left w:val="none" w:color="auto" w:sz="0" w:space="0"/>
            <w:bottom w:val="single" w:color="000000" w:sz="8" w:space="0"/>
            <w:right w:val="none" w:color="auto" w:sz="0" w:space="0"/>
            <w:insideH w:val="single" w:color="000000" w:sz="8" w:space="0"/>
            <w:insideV w:val="single" w:color="000000" w:sz="8" w:space="0"/>
          </w:tblBorders>
          <w:tblCellMar>
            <w:top w:w="0" w:type="dxa"/>
            <w:left w:w="108" w:type="dxa"/>
            <w:bottom w:w="0" w:type="dxa"/>
            <w:right w:w="108" w:type="dxa"/>
          </w:tblCellMar>
        </w:tblPrEx>
        <w:trPr>
          <w:trHeight w:val="712" w:hRule="exact"/>
        </w:trPr>
        <w:tc>
          <w:tcPr>
            <w:tcW w:w="2347" w:type="dxa"/>
            <w:vAlign w:val="center"/>
          </w:tcPr>
          <w:p w14:paraId="457DFFA0">
            <w:pPr>
              <w:jc w:val="center"/>
              <w:rPr>
                <w:sz w:val="22"/>
              </w:rPr>
            </w:pPr>
            <w:r>
              <w:rPr>
                <w:rFonts w:hint="eastAsia" w:ascii="楷体_GB2312" w:eastAsia="楷体_GB2312"/>
                <w:sz w:val="32"/>
                <w:szCs w:val="32"/>
              </w:rPr>
              <w:t>非甲烷总烃</w:t>
            </w:r>
          </w:p>
        </w:tc>
        <w:tc>
          <w:tcPr>
            <w:tcW w:w="2490" w:type="dxa"/>
            <w:vAlign w:val="center"/>
          </w:tcPr>
          <w:p w14:paraId="0C1485D9">
            <w:pPr>
              <w:jc w:val="center"/>
              <w:rPr>
                <w:rFonts w:ascii="Times New Roman" w:hAnsi="Times New Roman" w:cs="Times New Roman"/>
                <w:sz w:val="22"/>
              </w:rPr>
            </w:pPr>
            <w:r>
              <w:rPr>
                <w:rFonts w:hint="eastAsia" w:ascii="Times New Roman" w:hAnsi="Times New Roman" w:cs="Times New Roman"/>
                <w:sz w:val="22"/>
              </w:rPr>
              <w:t>1</w:t>
            </w:r>
          </w:p>
        </w:tc>
        <w:tc>
          <w:tcPr>
            <w:tcW w:w="2148" w:type="dxa"/>
            <w:vAlign w:val="center"/>
          </w:tcPr>
          <w:p w14:paraId="25C3E1B3">
            <w:pPr>
              <w:jc w:val="center"/>
              <w:rPr>
                <w:rFonts w:ascii="Times New Roman" w:hAnsi="Times New Roman" w:cs="Times New Roman"/>
                <w:sz w:val="22"/>
              </w:rPr>
            </w:pPr>
            <w:r>
              <w:rPr>
                <w:rFonts w:hint="eastAsia" w:ascii="Times New Roman" w:hAnsi="Times New Roman" w:cs="Times New Roman"/>
                <w:sz w:val="22"/>
              </w:rPr>
              <w:t>1</w:t>
            </w:r>
          </w:p>
        </w:tc>
        <w:tc>
          <w:tcPr>
            <w:tcW w:w="1627" w:type="dxa"/>
            <w:vAlign w:val="center"/>
          </w:tcPr>
          <w:p w14:paraId="3FBEE23E">
            <w:pPr>
              <w:jc w:val="center"/>
              <w:rPr>
                <w:rFonts w:ascii="Times New Roman" w:hAnsi="Times New Roman" w:cs="Times New Roman"/>
                <w:sz w:val="22"/>
              </w:rPr>
            </w:pPr>
            <w:r>
              <w:rPr>
                <w:rFonts w:hint="eastAsia" w:ascii="Times New Roman" w:hAnsi="Times New Roman" w:cs="Times New Roman"/>
                <w:sz w:val="22"/>
              </w:rPr>
              <w:t>0.93倍</w:t>
            </w:r>
          </w:p>
        </w:tc>
      </w:tr>
      <w:tr w14:paraId="187B2BBF">
        <w:tblPrEx>
          <w:tblBorders>
            <w:top w:val="single" w:color="000000" w:sz="8" w:space="0"/>
            <w:left w:val="none" w:color="auto" w:sz="0" w:space="0"/>
            <w:bottom w:val="single" w:color="000000" w:sz="8" w:space="0"/>
            <w:right w:val="none" w:color="auto" w:sz="0" w:space="0"/>
            <w:insideH w:val="single" w:color="000000" w:sz="8" w:space="0"/>
            <w:insideV w:val="single" w:color="000000" w:sz="8" w:space="0"/>
          </w:tblBorders>
          <w:tblCellMar>
            <w:top w:w="0" w:type="dxa"/>
            <w:left w:w="108" w:type="dxa"/>
            <w:bottom w:w="0" w:type="dxa"/>
            <w:right w:w="108" w:type="dxa"/>
          </w:tblCellMar>
        </w:tblPrEx>
        <w:trPr>
          <w:trHeight w:val="712" w:hRule="exact"/>
        </w:trPr>
        <w:tc>
          <w:tcPr>
            <w:tcW w:w="2347" w:type="dxa"/>
            <w:vAlign w:val="center"/>
          </w:tcPr>
          <w:p w14:paraId="7D4CDE11">
            <w:pPr>
              <w:jc w:val="center"/>
              <w:rPr>
                <w:rFonts w:hint="eastAsia" w:ascii="楷体_GB2312" w:eastAsia="楷体_GB2312"/>
                <w:sz w:val="32"/>
                <w:szCs w:val="32"/>
              </w:rPr>
            </w:pPr>
            <w:r>
              <w:rPr>
                <w:rFonts w:hint="eastAsia" w:ascii="楷体_GB2312" w:eastAsia="楷体_GB2312"/>
                <w:sz w:val="32"/>
                <w:szCs w:val="32"/>
              </w:rPr>
              <w:t>颗粒物</w:t>
            </w:r>
          </w:p>
        </w:tc>
        <w:tc>
          <w:tcPr>
            <w:tcW w:w="2490" w:type="dxa"/>
            <w:vAlign w:val="center"/>
          </w:tcPr>
          <w:p w14:paraId="6AC60FE7">
            <w:pPr>
              <w:jc w:val="center"/>
              <w:rPr>
                <w:rFonts w:hint="eastAsia" w:ascii="Times New Roman" w:hAnsi="Times New Roman" w:cs="Times New Roman" w:eastAsiaTheme="minorEastAsia"/>
                <w:sz w:val="22"/>
                <w:lang w:val="en-US" w:eastAsia="zh-CN"/>
              </w:rPr>
            </w:pPr>
            <w:r>
              <w:rPr>
                <w:rFonts w:hint="eastAsia" w:ascii="Times New Roman" w:hAnsi="Times New Roman" w:cs="Times New Roman"/>
                <w:sz w:val="22"/>
                <w:lang w:val="en-US" w:eastAsia="zh-CN"/>
              </w:rPr>
              <w:t>1</w:t>
            </w:r>
          </w:p>
        </w:tc>
        <w:tc>
          <w:tcPr>
            <w:tcW w:w="2148" w:type="dxa"/>
            <w:vAlign w:val="center"/>
          </w:tcPr>
          <w:p w14:paraId="4800F456">
            <w:pPr>
              <w:jc w:val="center"/>
              <w:rPr>
                <w:rFonts w:hint="eastAsia" w:ascii="Times New Roman" w:hAnsi="Times New Roman" w:cs="Times New Roman" w:eastAsiaTheme="minorEastAsia"/>
                <w:sz w:val="22"/>
                <w:lang w:val="en-US" w:eastAsia="zh-CN"/>
              </w:rPr>
            </w:pPr>
            <w:r>
              <w:rPr>
                <w:rFonts w:hint="eastAsia" w:ascii="Times New Roman" w:hAnsi="Times New Roman" w:cs="Times New Roman"/>
                <w:sz w:val="22"/>
                <w:lang w:val="en-US" w:eastAsia="zh-CN"/>
              </w:rPr>
              <w:t>1</w:t>
            </w:r>
          </w:p>
        </w:tc>
        <w:tc>
          <w:tcPr>
            <w:tcW w:w="1627" w:type="dxa"/>
            <w:vAlign w:val="center"/>
          </w:tcPr>
          <w:p w14:paraId="65B4E82E">
            <w:pPr>
              <w:jc w:val="center"/>
              <w:rPr>
                <w:rFonts w:hint="eastAsia" w:ascii="Times New Roman" w:hAnsi="Times New Roman" w:cs="Times New Roman" w:eastAsiaTheme="minorEastAsia"/>
                <w:sz w:val="22"/>
                <w:lang w:val="en-US" w:eastAsia="zh-CN"/>
              </w:rPr>
            </w:pPr>
            <w:r>
              <w:rPr>
                <w:rFonts w:hint="eastAsia" w:ascii="Times New Roman" w:hAnsi="Times New Roman" w:cs="Times New Roman"/>
                <w:sz w:val="22"/>
              </w:rPr>
              <w:t>0.285</w:t>
            </w:r>
            <w:r>
              <w:rPr>
                <w:rFonts w:hint="eastAsia" w:ascii="Times New Roman" w:hAnsi="Times New Roman" w:cs="Times New Roman"/>
                <w:sz w:val="22"/>
                <w:lang w:val="en-US" w:eastAsia="zh-CN"/>
              </w:rPr>
              <w:t>倍</w:t>
            </w:r>
          </w:p>
        </w:tc>
      </w:tr>
    </w:tbl>
    <w:p w14:paraId="33FAC076">
      <w:pPr>
        <w:rPr>
          <w:rFonts w:ascii="黑体" w:hAnsi="黑体" w:eastAsia="黑体"/>
          <w:sz w:val="18"/>
          <w:szCs w:val="32"/>
        </w:rPr>
      </w:pPr>
    </w:p>
    <w:p w14:paraId="1FCED54F">
      <w:pPr>
        <w:spacing w:before="156" w:beforeLines="50"/>
        <w:ind w:firstLine="640" w:firstLineChars="200"/>
        <w:outlineLvl w:val="0"/>
        <w:rPr>
          <w:rFonts w:ascii="黑体" w:hAnsi="黑体" w:eastAsia="黑体"/>
          <w:sz w:val="32"/>
          <w:szCs w:val="32"/>
        </w:rPr>
      </w:pPr>
      <w:bookmarkStart w:id="43" w:name="_Toc184200406"/>
      <w:r>
        <w:rPr>
          <w:rFonts w:hint="eastAsia" w:ascii="黑体" w:hAnsi="黑体" w:eastAsia="黑体"/>
          <w:sz w:val="32"/>
          <w:szCs w:val="32"/>
        </w:rPr>
        <w:t>八、执法立案查处情况</w:t>
      </w:r>
      <w:bookmarkEnd w:id="43"/>
    </w:p>
    <w:p w14:paraId="091A4C32">
      <w:pPr>
        <w:ind w:firstLine="640" w:firstLineChars="200"/>
        <w:jc w:val="left"/>
        <w:rPr>
          <w:rFonts w:hint="eastAsia" w:ascii="仿宋_GB2312" w:eastAsia="仿宋_GB2312"/>
          <w:sz w:val="32"/>
          <w:szCs w:val="32"/>
          <w:lang w:val="en-US" w:eastAsia="zh-CN"/>
        </w:rPr>
      </w:pPr>
      <w:bookmarkStart w:id="44" w:name="_Toc120625626"/>
      <w:bookmarkStart w:id="45" w:name="_Toc184200407"/>
      <w:r>
        <w:rPr>
          <w:rFonts w:hint="eastAsia" w:ascii="仿宋_GB2312" w:eastAsia="仿宋_GB2312"/>
          <w:sz w:val="32"/>
          <w:szCs w:val="32"/>
          <w:lang w:val="en-US" w:eastAsia="zh-CN"/>
        </w:rPr>
        <w:t>执法期间未发现监测数据弄虚作假等违法</w:t>
      </w:r>
      <w:bookmarkEnd w:id="44"/>
      <w:r>
        <w:rPr>
          <w:rFonts w:hint="eastAsia" w:ascii="仿宋_GB2312" w:eastAsia="仿宋_GB2312"/>
          <w:sz w:val="32"/>
          <w:szCs w:val="32"/>
          <w:lang w:val="en-US" w:eastAsia="zh-CN"/>
        </w:rPr>
        <w:t>情况。对执法监测结果超标的2家企业，我局拟立案查处，督促企业尽快完成整改，确保达标排放。</w:t>
      </w:r>
    </w:p>
    <w:p w14:paraId="3981C253">
      <w:pPr>
        <w:spacing w:before="156" w:beforeLines="50"/>
        <w:ind w:firstLine="640" w:firstLineChars="200"/>
        <w:outlineLvl w:val="0"/>
        <w:rPr>
          <w:rFonts w:ascii="黑体" w:hAnsi="黑体" w:eastAsia="黑体"/>
          <w:sz w:val="32"/>
          <w:szCs w:val="32"/>
        </w:rPr>
      </w:pPr>
      <w:r>
        <w:rPr>
          <w:rFonts w:hint="eastAsia" w:ascii="黑体" w:hAnsi="黑体" w:eastAsia="黑体"/>
          <w:sz w:val="32"/>
          <w:szCs w:val="32"/>
        </w:rPr>
        <w:t>九、</w:t>
      </w:r>
      <w:r>
        <w:rPr>
          <w:rFonts w:ascii="黑体" w:hAnsi="黑体" w:eastAsia="黑体"/>
          <w:sz w:val="32"/>
          <w:szCs w:val="32"/>
        </w:rPr>
        <w:t>存在的问题和不足</w:t>
      </w:r>
      <w:bookmarkEnd w:id="45"/>
      <w:r>
        <w:rPr>
          <w:rFonts w:hint="eastAsia" w:ascii="黑体" w:hAnsi="黑体" w:eastAsia="黑体"/>
          <w:sz w:val="32"/>
          <w:szCs w:val="32"/>
        </w:rPr>
        <w:t xml:space="preserve"> </w:t>
      </w:r>
    </w:p>
    <w:p w14:paraId="03801F53">
      <w:pPr>
        <w:ind w:firstLine="640" w:firstLineChars="200"/>
        <w:jc w:val="left"/>
        <w:rPr>
          <w:rFonts w:ascii="仿宋_GB2312" w:eastAsia="仿宋_GB2312"/>
          <w:sz w:val="32"/>
          <w:szCs w:val="32"/>
        </w:rPr>
      </w:pPr>
      <w:r>
        <w:rPr>
          <w:rFonts w:hint="eastAsia" w:ascii="仿宋_GB2312" w:eastAsia="仿宋_GB2312"/>
          <w:sz w:val="32"/>
          <w:szCs w:val="32"/>
          <w:lang w:val="en-US" w:eastAsia="zh-CN"/>
        </w:rPr>
        <w:t>部分企业未及时按照最新监测方法标准、污染物排放标准，更新、上传排污许可证监测方案相关内容。监测站能力还有不足，不能对排污单位的排污许可证上的项目进行全覆盖监测。</w:t>
      </w:r>
    </w:p>
    <w:p w14:paraId="57D05AEB">
      <w:pPr>
        <w:spacing w:before="156" w:beforeLines="50"/>
        <w:ind w:firstLine="640" w:firstLineChars="200"/>
        <w:outlineLvl w:val="0"/>
        <w:rPr>
          <w:rFonts w:ascii="黑体" w:hAnsi="黑体" w:eastAsia="黑体"/>
          <w:sz w:val="32"/>
          <w:szCs w:val="32"/>
        </w:rPr>
      </w:pPr>
      <w:bookmarkStart w:id="46" w:name="_Toc184200408"/>
      <w:r>
        <w:rPr>
          <w:rFonts w:hint="eastAsia" w:ascii="黑体" w:hAnsi="黑体" w:eastAsia="黑体"/>
          <w:sz w:val="32"/>
          <w:szCs w:val="32"/>
        </w:rPr>
        <w:t>十</w:t>
      </w:r>
      <w:r>
        <w:rPr>
          <w:rFonts w:ascii="黑体" w:hAnsi="黑体" w:eastAsia="黑体"/>
          <w:sz w:val="32"/>
          <w:szCs w:val="32"/>
        </w:rPr>
        <w:t>、下一步的工作计划及建议</w:t>
      </w:r>
      <w:bookmarkEnd w:id="46"/>
    </w:p>
    <w:p w14:paraId="21C580EC">
      <w:pPr>
        <w:ind w:firstLine="640" w:firstLineChars="200"/>
        <w:jc w:val="left"/>
        <w:rPr>
          <w:rFonts w:hint="eastAsia" w:ascii="仿宋_GB2312" w:eastAsia="仿宋_GB2312"/>
          <w:sz w:val="32"/>
          <w:szCs w:val="32"/>
          <w:lang w:val="en-US" w:eastAsia="zh-CN"/>
        </w:rPr>
      </w:pPr>
      <w:bookmarkStart w:id="47" w:name="_Toc120625628"/>
      <w:r>
        <w:rPr>
          <w:rFonts w:hint="eastAsia" w:ascii="仿宋_GB2312" w:eastAsia="仿宋_GB2312"/>
          <w:sz w:val="32"/>
          <w:szCs w:val="32"/>
          <w:lang w:val="en-US" w:eastAsia="zh-CN"/>
        </w:rPr>
        <w:t>1、</w:t>
      </w:r>
      <w:bookmarkEnd w:id="47"/>
      <w:r>
        <w:rPr>
          <w:rFonts w:hint="eastAsia" w:ascii="仿宋_GB2312" w:eastAsia="仿宋_GB2312"/>
          <w:sz w:val="32"/>
          <w:szCs w:val="32"/>
          <w:lang w:val="en-US" w:eastAsia="zh-CN"/>
        </w:rPr>
        <w:t>进一步加强生态环境执法，督促企业做好治污设施运行管理，确保污染物达标排放。</w:t>
      </w:r>
    </w:p>
    <w:p w14:paraId="1694C8E2">
      <w:pPr>
        <w:ind w:firstLine="640" w:firstLineChars="200"/>
        <w:jc w:val="left"/>
        <w:rPr>
          <w:rFonts w:hint="eastAsia" w:ascii="仿宋_GB2312" w:eastAsia="仿宋_GB2312"/>
          <w:sz w:val="32"/>
          <w:szCs w:val="32"/>
          <w:lang w:val="en-US" w:eastAsia="zh-CN"/>
        </w:rPr>
      </w:pPr>
      <w:r>
        <w:rPr>
          <w:rFonts w:hint="eastAsia" w:ascii="仿宋_GB2312" w:eastAsia="仿宋_GB2312"/>
          <w:sz w:val="32"/>
          <w:szCs w:val="32"/>
          <w:lang w:val="en-US" w:eastAsia="zh-CN"/>
        </w:rPr>
        <w:t>2、主动帮扶企业，指导企业严格按照排污许可证中监测方案进行自行监测。</w:t>
      </w:r>
    </w:p>
    <w:p w14:paraId="2911C410">
      <w:pPr>
        <w:ind w:firstLine="640" w:firstLineChars="200"/>
        <w:jc w:val="left"/>
        <w:rPr>
          <w:rFonts w:hint="default" w:ascii="仿宋_GB2312" w:eastAsia="仿宋_GB2312"/>
          <w:sz w:val="32"/>
          <w:szCs w:val="32"/>
          <w:lang w:val="en-US" w:eastAsia="zh-CN"/>
        </w:rPr>
      </w:pPr>
      <w:r>
        <w:rPr>
          <w:rFonts w:hint="eastAsia" w:ascii="仿宋_GB2312" w:eastAsia="仿宋_GB2312"/>
          <w:sz w:val="32"/>
          <w:szCs w:val="32"/>
          <w:lang w:val="en-US" w:eastAsia="zh-CN"/>
        </w:rPr>
        <w:t>3.加强监测站能力建设，逐步做到对重点排污单位的应测尽测。</w:t>
      </w:r>
    </w:p>
    <w:p w14:paraId="35B9D98F">
      <w:pPr>
        <w:ind w:firstLine="643" w:firstLineChars="200"/>
        <w:outlineLvl w:val="1"/>
        <w:rPr>
          <w:rFonts w:ascii="仿宋_GB2312" w:eastAsia="仿宋_GB2312"/>
          <w:b/>
          <w:sz w:val="32"/>
          <w:szCs w:val="32"/>
        </w:rPr>
      </w:pPr>
      <w:bookmarkStart w:id="48" w:name="_Toc184200409"/>
      <w:r>
        <w:rPr>
          <w:rFonts w:hint="eastAsia" w:ascii="仿宋_GB2312" w:eastAsia="仿宋_GB2312"/>
          <w:b/>
          <w:sz w:val="32"/>
          <w:szCs w:val="32"/>
        </w:rPr>
        <w:t>具体监测数据见附表：</w:t>
      </w:r>
      <w:bookmarkEnd w:id="48"/>
    </w:p>
    <w:p w14:paraId="3C93D881">
      <w:pPr>
        <w:widowControl/>
        <w:snapToGrid w:val="0"/>
        <w:spacing w:line="276" w:lineRule="auto"/>
        <w:ind w:firstLine="640" w:firstLineChars="200"/>
        <w:jc w:val="left"/>
        <w:outlineLvl w:val="0"/>
        <w:rPr>
          <w:rFonts w:ascii="仿宋_GB2312" w:eastAsia="仿宋_GB2312"/>
          <w:sz w:val="32"/>
          <w:szCs w:val="32"/>
        </w:rPr>
      </w:pPr>
      <w:bookmarkStart w:id="49" w:name="_Toc184200410"/>
      <w:r>
        <w:rPr>
          <w:rFonts w:hint="eastAsia" w:ascii="仿宋_GB2312" w:eastAsia="仿宋_GB2312"/>
          <w:sz w:val="32"/>
          <w:szCs w:val="32"/>
        </w:rPr>
        <w:t>附表1：入河排污口监测数据一览表</w:t>
      </w:r>
      <w:bookmarkEnd w:id="49"/>
    </w:p>
    <w:p w14:paraId="1A46AAE6">
      <w:pPr>
        <w:widowControl/>
        <w:snapToGrid w:val="0"/>
        <w:spacing w:line="276" w:lineRule="auto"/>
        <w:ind w:firstLine="640" w:firstLineChars="200"/>
        <w:jc w:val="left"/>
        <w:outlineLvl w:val="0"/>
        <w:rPr>
          <w:rFonts w:ascii="仿宋_GB2312" w:eastAsia="仿宋_GB2312"/>
          <w:sz w:val="32"/>
          <w:szCs w:val="32"/>
        </w:rPr>
      </w:pPr>
      <w:bookmarkStart w:id="50" w:name="_Toc184200411"/>
      <w:r>
        <w:rPr>
          <w:rFonts w:hint="eastAsia" w:ascii="仿宋_GB2312" w:eastAsia="仿宋_GB2312"/>
          <w:sz w:val="32"/>
          <w:szCs w:val="32"/>
        </w:rPr>
        <w:t>附表2：入河排污口超标数据一览表</w:t>
      </w:r>
      <w:bookmarkEnd w:id="50"/>
    </w:p>
    <w:p w14:paraId="6D42D048">
      <w:pPr>
        <w:widowControl/>
        <w:snapToGrid w:val="0"/>
        <w:spacing w:line="276" w:lineRule="auto"/>
        <w:ind w:firstLine="640" w:firstLineChars="200"/>
        <w:jc w:val="left"/>
        <w:outlineLvl w:val="0"/>
        <w:rPr>
          <w:rFonts w:ascii="仿宋_GB2312" w:eastAsia="仿宋_GB2312"/>
          <w:sz w:val="32"/>
          <w:szCs w:val="32"/>
        </w:rPr>
      </w:pPr>
      <w:bookmarkStart w:id="51" w:name="_Toc184200412"/>
      <w:r>
        <w:rPr>
          <w:rFonts w:hint="eastAsia" w:ascii="仿宋_GB2312" w:eastAsia="仿宋_GB2312"/>
          <w:sz w:val="32"/>
          <w:szCs w:val="32"/>
        </w:rPr>
        <w:t>附表</w:t>
      </w:r>
      <w:r>
        <w:rPr>
          <w:rFonts w:ascii="仿宋_GB2312" w:eastAsia="仿宋_GB2312"/>
          <w:sz w:val="32"/>
          <w:szCs w:val="32"/>
        </w:rPr>
        <w:t>3</w:t>
      </w:r>
      <w:r>
        <w:rPr>
          <w:rFonts w:hint="eastAsia" w:ascii="仿宋_GB2312" w:eastAsia="仿宋_GB2312"/>
          <w:sz w:val="32"/>
          <w:szCs w:val="32"/>
        </w:rPr>
        <w:t>：重点尾矿库监测数据一览表</w:t>
      </w:r>
      <w:bookmarkEnd w:id="51"/>
    </w:p>
    <w:p w14:paraId="14F6A9E8">
      <w:pPr>
        <w:widowControl/>
        <w:snapToGrid w:val="0"/>
        <w:spacing w:line="276" w:lineRule="auto"/>
        <w:ind w:firstLine="640" w:firstLineChars="200"/>
        <w:jc w:val="left"/>
        <w:outlineLvl w:val="0"/>
        <w:rPr>
          <w:rFonts w:ascii="仿宋_GB2312" w:eastAsia="仿宋_GB2312"/>
          <w:sz w:val="32"/>
          <w:szCs w:val="32"/>
        </w:rPr>
      </w:pPr>
      <w:bookmarkStart w:id="52" w:name="_Toc184200413"/>
      <w:r>
        <w:rPr>
          <w:rFonts w:hint="eastAsia" w:ascii="仿宋_GB2312" w:eastAsia="仿宋_GB2312"/>
          <w:sz w:val="32"/>
          <w:szCs w:val="32"/>
        </w:rPr>
        <w:t>附表</w:t>
      </w:r>
      <w:r>
        <w:rPr>
          <w:rFonts w:ascii="仿宋_GB2312" w:eastAsia="仿宋_GB2312"/>
          <w:sz w:val="32"/>
          <w:szCs w:val="32"/>
        </w:rPr>
        <w:t>4</w:t>
      </w:r>
      <w:r>
        <w:rPr>
          <w:rFonts w:hint="eastAsia" w:ascii="仿宋_GB2312" w:eastAsia="仿宋_GB2312"/>
          <w:sz w:val="32"/>
          <w:szCs w:val="32"/>
        </w:rPr>
        <w:t>：重点尾矿库超标数据一览表</w:t>
      </w:r>
      <w:bookmarkEnd w:id="52"/>
    </w:p>
    <w:p w14:paraId="5BD09989">
      <w:pPr>
        <w:widowControl/>
        <w:snapToGrid w:val="0"/>
        <w:spacing w:line="276" w:lineRule="auto"/>
        <w:ind w:firstLine="640" w:firstLineChars="200"/>
        <w:jc w:val="left"/>
        <w:outlineLvl w:val="0"/>
        <w:rPr>
          <w:rFonts w:ascii="仿宋_GB2312" w:eastAsia="仿宋_GB2312"/>
          <w:sz w:val="32"/>
          <w:szCs w:val="32"/>
        </w:rPr>
      </w:pPr>
      <w:bookmarkStart w:id="53" w:name="_Toc184200414"/>
      <w:r>
        <w:rPr>
          <w:rFonts w:hint="eastAsia" w:ascii="仿宋_GB2312" w:eastAsia="仿宋_GB2312"/>
          <w:sz w:val="32"/>
          <w:szCs w:val="32"/>
        </w:rPr>
        <w:t>附表</w:t>
      </w:r>
      <w:r>
        <w:rPr>
          <w:rFonts w:ascii="仿宋_GB2312" w:eastAsia="仿宋_GB2312"/>
          <w:sz w:val="32"/>
          <w:szCs w:val="32"/>
        </w:rPr>
        <w:t>5</w:t>
      </w:r>
      <w:r>
        <w:rPr>
          <w:rFonts w:hint="eastAsia" w:ascii="仿宋_GB2312" w:eastAsia="仿宋_GB2312"/>
          <w:sz w:val="32"/>
          <w:szCs w:val="32"/>
        </w:rPr>
        <w:t>：磷石膏库（堆场）监测数据一览表</w:t>
      </w:r>
      <w:bookmarkEnd w:id="53"/>
    </w:p>
    <w:p w14:paraId="4B1B0E26">
      <w:pPr>
        <w:widowControl/>
        <w:snapToGrid w:val="0"/>
        <w:spacing w:line="276" w:lineRule="auto"/>
        <w:ind w:firstLine="640" w:firstLineChars="200"/>
        <w:jc w:val="left"/>
        <w:outlineLvl w:val="0"/>
        <w:rPr>
          <w:rFonts w:hint="eastAsia" w:ascii="仿宋_GB2312" w:eastAsia="仿宋_GB2312"/>
          <w:sz w:val="32"/>
          <w:szCs w:val="32"/>
        </w:rPr>
      </w:pPr>
      <w:bookmarkStart w:id="54" w:name="_Toc184200415"/>
      <w:r>
        <w:rPr>
          <w:rFonts w:hint="eastAsia" w:ascii="仿宋_GB2312" w:eastAsia="仿宋_GB2312"/>
          <w:sz w:val="32"/>
          <w:szCs w:val="32"/>
        </w:rPr>
        <w:t>附表</w:t>
      </w:r>
      <w:r>
        <w:rPr>
          <w:rFonts w:ascii="仿宋_GB2312" w:eastAsia="仿宋_GB2312"/>
          <w:sz w:val="32"/>
          <w:szCs w:val="32"/>
        </w:rPr>
        <w:t>6</w:t>
      </w:r>
      <w:r>
        <w:rPr>
          <w:rFonts w:hint="eastAsia" w:ascii="仿宋_GB2312" w:eastAsia="仿宋_GB2312"/>
          <w:sz w:val="32"/>
          <w:szCs w:val="32"/>
        </w:rPr>
        <w:t>：磷石膏库（堆场）超标数据一览表</w:t>
      </w:r>
      <w:bookmarkEnd w:id="54"/>
    </w:p>
    <w:p w14:paraId="0FFDABE1">
      <w:pPr>
        <w:widowControl/>
        <w:snapToGrid w:val="0"/>
        <w:spacing w:line="276" w:lineRule="auto"/>
        <w:ind w:firstLine="640" w:firstLineChars="200"/>
        <w:jc w:val="left"/>
        <w:outlineLvl w:val="0"/>
        <w:rPr>
          <w:rFonts w:ascii="仿宋_GB2312" w:eastAsia="仿宋_GB2312"/>
          <w:sz w:val="32"/>
          <w:szCs w:val="32"/>
        </w:rPr>
      </w:pPr>
      <w:bookmarkStart w:id="55" w:name="_Toc184200416"/>
      <w:r>
        <w:rPr>
          <w:rFonts w:hint="eastAsia" w:ascii="仿宋_GB2312" w:eastAsia="仿宋_GB2312"/>
          <w:sz w:val="32"/>
          <w:szCs w:val="32"/>
        </w:rPr>
        <w:t>附表</w:t>
      </w:r>
      <w:r>
        <w:rPr>
          <w:rFonts w:ascii="仿宋_GB2312" w:eastAsia="仿宋_GB2312"/>
          <w:sz w:val="32"/>
          <w:szCs w:val="32"/>
        </w:rPr>
        <w:t>7</w:t>
      </w:r>
      <w:r>
        <w:rPr>
          <w:rFonts w:hint="eastAsia" w:ascii="仿宋_GB2312" w:eastAsia="仿宋_GB2312"/>
          <w:sz w:val="32"/>
          <w:szCs w:val="32"/>
        </w:rPr>
        <w:t>：涉重行业企业监测数据一览表</w:t>
      </w:r>
      <w:bookmarkEnd w:id="55"/>
    </w:p>
    <w:p w14:paraId="4286B637">
      <w:pPr>
        <w:widowControl/>
        <w:snapToGrid w:val="0"/>
        <w:spacing w:line="276" w:lineRule="auto"/>
        <w:ind w:firstLine="640" w:firstLineChars="200"/>
        <w:jc w:val="left"/>
        <w:outlineLvl w:val="0"/>
        <w:rPr>
          <w:rFonts w:ascii="仿宋_GB2312" w:eastAsia="仿宋_GB2312"/>
          <w:sz w:val="32"/>
          <w:szCs w:val="32"/>
        </w:rPr>
      </w:pPr>
      <w:bookmarkStart w:id="56" w:name="_Toc184200417"/>
      <w:r>
        <w:rPr>
          <w:rFonts w:hint="eastAsia" w:ascii="仿宋_GB2312" w:eastAsia="仿宋_GB2312"/>
          <w:sz w:val="32"/>
          <w:szCs w:val="32"/>
        </w:rPr>
        <w:t>附表</w:t>
      </w:r>
      <w:r>
        <w:rPr>
          <w:rFonts w:ascii="仿宋_GB2312" w:eastAsia="仿宋_GB2312"/>
          <w:sz w:val="32"/>
          <w:szCs w:val="32"/>
        </w:rPr>
        <w:t>8</w:t>
      </w:r>
      <w:r>
        <w:rPr>
          <w:rFonts w:hint="eastAsia" w:ascii="仿宋_GB2312" w:eastAsia="仿宋_GB2312"/>
          <w:sz w:val="32"/>
          <w:szCs w:val="32"/>
        </w:rPr>
        <w:t>：涉重行业企业超标数据一览表</w:t>
      </w:r>
      <w:bookmarkEnd w:id="56"/>
    </w:p>
    <w:p w14:paraId="6F399762">
      <w:pPr>
        <w:widowControl/>
        <w:snapToGrid w:val="0"/>
        <w:spacing w:line="276" w:lineRule="auto"/>
        <w:ind w:firstLine="640" w:firstLineChars="200"/>
        <w:jc w:val="left"/>
        <w:outlineLvl w:val="0"/>
        <w:rPr>
          <w:rFonts w:ascii="仿宋_GB2312" w:eastAsia="仿宋_GB2312"/>
          <w:sz w:val="32"/>
          <w:szCs w:val="32"/>
        </w:rPr>
      </w:pPr>
      <w:bookmarkStart w:id="57" w:name="_Toc184200418"/>
      <w:r>
        <w:rPr>
          <w:rFonts w:hint="eastAsia" w:ascii="仿宋_GB2312" w:eastAsia="仿宋_GB2312"/>
          <w:sz w:val="32"/>
          <w:szCs w:val="32"/>
        </w:rPr>
        <w:t>附表</w:t>
      </w:r>
      <w:r>
        <w:rPr>
          <w:rFonts w:ascii="仿宋_GB2312" w:eastAsia="仿宋_GB2312"/>
          <w:sz w:val="32"/>
          <w:szCs w:val="32"/>
        </w:rPr>
        <w:t>9</w:t>
      </w:r>
      <w:r>
        <w:rPr>
          <w:rFonts w:hint="eastAsia" w:ascii="仿宋_GB2312" w:eastAsia="仿宋_GB2312"/>
          <w:sz w:val="32"/>
          <w:szCs w:val="32"/>
        </w:rPr>
        <w:t>：其他排污单位监测数据一览表</w:t>
      </w:r>
      <w:bookmarkEnd w:id="57"/>
    </w:p>
    <w:p w14:paraId="503FD2A6">
      <w:pPr>
        <w:widowControl/>
        <w:snapToGrid w:val="0"/>
        <w:spacing w:line="276" w:lineRule="auto"/>
        <w:ind w:firstLine="640" w:firstLineChars="200"/>
        <w:jc w:val="left"/>
        <w:outlineLvl w:val="0"/>
        <w:rPr>
          <w:rFonts w:ascii="仿宋_GB2312" w:eastAsia="仿宋_GB2312"/>
          <w:sz w:val="32"/>
          <w:szCs w:val="32"/>
        </w:rPr>
      </w:pPr>
      <w:bookmarkStart w:id="58" w:name="_Toc184200419"/>
      <w:r>
        <w:rPr>
          <w:rFonts w:hint="eastAsia" w:ascii="仿宋_GB2312" w:eastAsia="仿宋_GB2312"/>
          <w:sz w:val="32"/>
          <w:szCs w:val="32"/>
        </w:rPr>
        <w:t>附表</w:t>
      </w:r>
      <w:r>
        <w:rPr>
          <w:rFonts w:ascii="仿宋_GB2312" w:eastAsia="仿宋_GB2312"/>
          <w:sz w:val="32"/>
          <w:szCs w:val="32"/>
        </w:rPr>
        <w:t>10</w:t>
      </w:r>
      <w:r>
        <w:rPr>
          <w:rFonts w:hint="eastAsia" w:ascii="仿宋_GB2312" w:eastAsia="仿宋_GB2312"/>
          <w:sz w:val="32"/>
          <w:szCs w:val="32"/>
        </w:rPr>
        <w:t>：其他排污单位超标数据一览表</w:t>
      </w:r>
      <w:bookmarkEnd w:id="58"/>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330A92">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D91DA7">
                          <w:pPr>
                            <w:pStyle w:val="6"/>
                          </w:pPr>
                          <w:r>
                            <w:rPr>
                              <w:rFonts w:hint="eastAsia"/>
                            </w:rPr>
                            <w:fldChar w:fldCharType="begin"/>
                          </w:r>
                          <w:r>
                            <w:rPr>
                              <w:rFonts w:hint="eastAsia"/>
                            </w:rPr>
                            <w:instrText xml:space="preserve"> PAGE  \* MERGEFORMAT </w:instrText>
                          </w:r>
                          <w:r>
                            <w:rPr>
                              <w:rFonts w:hint="eastAsia"/>
                            </w:rPr>
                            <w:fldChar w:fldCharType="separate"/>
                          </w:r>
                          <w:r>
                            <w:t>6</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4D91DA7">
                    <w:pPr>
                      <w:pStyle w:val="6"/>
                    </w:pPr>
                    <w:r>
                      <w:rPr>
                        <w:rFonts w:hint="eastAsia"/>
                      </w:rPr>
                      <w:fldChar w:fldCharType="begin"/>
                    </w:r>
                    <w:r>
                      <w:rPr>
                        <w:rFonts w:hint="eastAsia"/>
                      </w:rPr>
                      <w:instrText xml:space="preserve"> PAGE  \* MERGEFORMAT </w:instrText>
                    </w:r>
                    <w:r>
                      <w:rPr>
                        <w:rFonts w:hint="eastAsia"/>
                      </w:rPr>
                      <w:fldChar w:fldCharType="separate"/>
                    </w:r>
                    <w:r>
                      <w:t>6</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RkNWVmYmY3NmZlMzI5OGY2ZDA0NzFhNGI5MzNhNGUifQ=="/>
  </w:docVars>
  <w:rsids>
    <w:rsidRoot w:val="0008783D"/>
    <w:rsid w:val="00000A36"/>
    <w:rsid w:val="00002CCE"/>
    <w:rsid w:val="000061F7"/>
    <w:rsid w:val="00012C4D"/>
    <w:rsid w:val="0001393E"/>
    <w:rsid w:val="000202C8"/>
    <w:rsid w:val="00032775"/>
    <w:rsid w:val="00034A3D"/>
    <w:rsid w:val="0003627A"/>
    <w:rsid w:val="00053659"/>
    <w:rsid w:val="00065459"/>
    <w:rsid w:val="00070336"/>
    <w:rsid w:val="00072171"/>
    <w:rsid w:val="000765A9"/>
    <w:rsid w:val="00083EBF"/>
    <w:rsid w:val="000852DD"/>
    <w:rsid w:val="0008783D"/>
    <w:rsid w:val="0009149A"/>
    <w:rsid w:val="00094F48"/>
    <w:rsid w:val="00096D18"/>
    <w:rsid w:val="000977B9"/>
    <w:rsid w:val="000A1622"/>
    <w:rsid w:val="000A3FF4"/>
    <w:rsid w:val="000A4848"/>
    <w:rsid w:val="000B7D56"/>
    <w:rsid w:val="000C3ED7"/>
    <w:rsid w:val="000D7C3A"/>
    <w:rsid w:val="000E21DC"/>
    <w:rsid w:val="000E2DFD"/>
    <w:rsid w:val="000E4FE2"/>
    <w:rsid w:val="000E5884"/>
    <w:rsid w:val="000F76DA"/>
    <w:rsid w:val="000F7C96"/>
    <w:rsid w:val="00112067"/>
    <w:rsid w:val="00121B06"/>
    <w:rsid w:val="001238D3"/>
    <w:rsid w:val="00132BDD"/>
    <w:rsid w:val="001441D0"/>
    <w:rsid w:val="00162CE9"/>
    <w:rsid w:val="0016360C"/>
    <w:rsid w:val="00173366"/>
    <w:rsid w:val="00174A7F"/>
    <w:rsid w:val="0019422A"/>
    <w:rsid w:val="001B2A4A"/>
    <w:rsid w:val="001C6202"/>
    <w:rsid w:val="001D04B7"/>
    <w:rsid w:val="001E79ED"/>
    <w:rsid w:val="001F3726"/>
    <w:rsid w:val="001F5237"/>
    <w:rsid w:val="002150AD"/>
    <w:rsid w:val="002227DC"/>
    <w:rsid w:val="00223A8D"/>
    <w:rsid w:val="00224D7A"/>
    <w:rsid w:val="00236CDF"/>
    <w:rsid w:val="0024416E"/>
    <w:rsid w:val="0024467D"/>
    <w:rsid w:val="00245B01"/>
    <w:rsid w:val="00273872"/>
    <w:rsid w:val="00274D07"/>
    <w:rsid w:val="00275023"/>
    <w:rsid w:val="0028382F"/>
    <w:rsid w:val="00283E11"/>
    <w:rsid w:val="00287716"/>
    <w:rsid w:val="00292620"/>
    <w:rsid w:val="00292A64"/>
    <w:rsid w:val="002956A0"/>
    <w:rsid w:val="002A43CA"/>
    <w:rsid w:val="002A74CF"/>
    <w:rsid w:val="002B030C"/>
    <w:rsid w:val="002B4ADF"/>
    <w:rsid w:val="002C12FE"/>
    <w:rsid w:val="002C4741"/>
    <w:rsid w:val="002C4F58"/>
    <w:rsid w:val="002C54E0"/>
    <w:rsid w:val="002E6A04"/>
    <w:rsid w:val="002F495E"/>
    <w:rsid w:val="002F78B9"/>
    <w:rsid w:val="003072C7"/>
    <w:rsid w:val="00310851"/>
    <w:rsid w:val="003173AB"/>
    <w:rsid w:val="00322CCF"/>
    <w:rsid w:val="003246C5"/>
    <w:rsid w:val="003316B1"/>
    <w:rsid w:val="003345C1"/>
    <w:rsid w:val="00347F61"/>
    <w:rsid w:val="00350209"/>
    <w:rsid w:val="003559EB"/>
    <w:rsid w:val="003645EF"/>
    <w:rsid w:val="00365429"/>
    <w:rsid w:val="00373853"/>
    <w:rsid w:val="0038645F"/>
    <w:rsid w:val="00393F96"/>
    <w:rsid w:val="003A0A47"/>
    <w:rsid w:val="003A2C38"/>
    <w:rsid w:val="003B29A9"/>
    <w:rsid w:val="003B4459"/>
    <w:rsid w:val="003D3739"/>
    <w:rsid w:val="003D387A"/>
    <w:rsid w:val="003D4FB8"/>
    <w:rsid w:val="003D5442"/>
    <w:rsid w:val="003D583A"/>
    <w:rsid w:val="003E160C"/>
    <w:rsid w:val="003E5673"/>
    <w:rsid w:val="003F451C"/>
    <w:rsid w:val="00402127"/>
    <w:rsid w:val="00407076"/>
    <w:rsid w:val="004070CB"/>
    <w:rsid w:val="00411CC7"/>
    <w:rsid w:val="0042078C"/>
    <w:rsid w:val="0042731C"/>
    <w:rsid w:val="00432B2B"/>
    <w:rsid w:val="00433441"/>
    <w:rsid w:val="004417C1"/>
    <w:rsid w:val="00442432"/>
    <w:rsid w:val="00442BA6"/>
    <w:rsid w:val="00455518"/>
    <w:rsid w:val="004608D6"/>
    <w:rsid w:val="0046135D"/>
    <w:rsid w:val="0046740E"/>
    <w:rsid w:val="004764D8"/>
    <w:rsid w:val="004835C7"/>
    <w:rsid w:val="0048386B"/>
    <w:rsid w:val="004840CD"/>
    <w:rsid w:val="004842FE"/>
    <w:rsid w:val="00490BA5"/>
    <w:rsid w:val="00491D6E"/>
    <w:rsid w:val="00492C62"/>
    <w:rsid w:val="004A1F23"/>
    <w:rsid w:val="004B2E7C"/>
    <w:rsid w:val="004B4ABE"/>
    <w:rsid w:val="004B7EE0"/>
    <w:rsid w:val="004C0269"/>
    <w:rsid w:val="004C0D7F"/>
    <w:rsid w:val="004D5A00"/>
    <w:rsid w:val="004E18A9"/>
    <w:rsid w:val="004E217D"/>
    <w:rsid w:val="004F3698"/>
    <w:rsid w:val="004F6EED"/>
    <w:rsid w:val="005027C6"/>
    <w:rsid w:val="00506389"/>
    <w:rsid w:val="0052315F"/>
    <w:rsid w:val="005302DE"/>
    <w:rsid w:val="00530FE8"/>
    <w:rsid w:val="00566B57"/>
    <w:rsid w:val="00574723"/>
    <w:rsid w:val="005748C3"/>
    <w:rsid w:val="00580039"/>
    <w:rsid w:val="005864DC"/>
    <w:rsid w:val="005955BB"/>
    <w:rsid w:val="005A04A0"/>
    <w:rsid w:val="005A5361"/>
    <w:rsid w:val="005B1E5B"/>
    <w:rsid w:val="005B3F2D"/>
    <w:rsid w:val="005E06F7"/>
    <w:rsid w:val="005E0D47"/>
    <w:rsid w:val="005E5D8A"/>
    <w:rsid w:val="005F30A2"/>
    <w:rsid w:val="006056FD"/>
    <w:rsid w:val="0060597C"/>
    <w:rsid w:val="00607895"/>
    <w:rsid w:val="00617EE2"/>
    <w:rsid w:val="006327C2"/>
    <w:rsid w:val="006354F6"/>
    <w:rsid w:val="00641484"/>
    <w:rsid w:val="0064514F"/>
    <w:rsid w:val="006451D2"/>
    <w:rsid w:val="00670F71"/>
    <w:rsid w:val="00671CE7"/>
    <w:rsid w:val="00676385"/>
    <w:rsid w:val="006779D0"/>
    <w:rsid w:val="006800CA"/>
    <w:rsid w:val="00680C45"/>
    <w:rsid w:val="006908DE"/>
    <w:rsid w:val="00690907"/>
    <w:rsid w:val="00691E65"/>
    <w:rsid w:val="006952F5"/>
    <w:rsid w:val="006A03DB"/>
    <w:rsid w:val="006A4CD6"/>
    <w:rsid w:val="006A588E"/>
    <w:rsid w:val="006C17DD"/>
    <w:rsid w:val="006C2653"/>
    <w:rsid w:val="006D21E7"/>
    <w:rsid w:val="006E3415"/>
    <w:rsid w:val="006E46AC"/>
    <w:rsid w:val="006E4FFB"/>
    <w:rsid w:val="006F0437"/>
    <w:rsid w:val="006F18EC"/>
    <w:rsid w:val="006F499C"/>
    <w:rsid w:val="006F53E1"/>
    <w:rsid w:val="00703EA4"/>
    <w:rsid w:val="00707FFE"/>
    <w:rsid w:val="00710E59"/>
    <w:rsid w:val="00716DB6"/>
    <w:rsid w:val="0073290E"/>
    <w:rsid w:val="00752C4C"/>
    <w:rsid w:val="00760098"/>
    <w:rsid w:val="007611F3"/>
    <w:rsid w:val="00762874"/>
    <w:rsid w:val="00784718"/>
    <w:rsid w:val="00787A4D"/>
    <w:rsid w:val="00787B83"/>
    <w:rsid w:val="007A04BD"/>
    <w:rsid w:val="007A3EFC"/>
    <w:rsid w:val="007A456D"/>
    <w:rsid w:val="007A5541"/>
    <w:rsid w:val="007B197C"/>
    <w:rsid w:val="007C21B5"/>
    <w:rsid w:val="007C7AF0"/>
    <w:rsid w:val="007D1E05"/>
    <w:rsid w:val="007D1F9E"/>
    <w:rsid w:val="007F1CBB"/>
    <w:rsid w:val="007F2B71"/>
    <w:rsid w:val="007F73AD"/>
    <w:rsid w:val="00814300"/>
    <w:rsid w:val="008248C4"/>
    <w:rsid w:val="0082549C"/>
    <w:rsid w:val="0082791F"/>
    <w:rsid w:val="008328B8"/>
    <w:rsid w:val="008347FA"/>
    <w:rsid w:val="00843336"/>
    <w:rsid w:val="008528AA"/>
    <w:rsid w:val="00863295"/>
    <w:rsid w:val="0087558A"/>
    <w:rsid w:val="00884AAC"/>
    <w:rsid w:val="00884FD0"/>
    <w:rsid w:val="00890C67"/>
    <w:rsid w:val="008A48BF"/>
    <w:rsid w:val="008C2845"/>
    <w:rsid w:val="008C4C92"/>
    <w:rsid w:val="008E20A2"/>
    <w:rsid w:val="008E6663"/>
    <w:rsid w:val="008F1DDB"/>
    <w:rsid w:val="00900117"/>
    <w:rsid w:val="00900A10"/>
    <w:rsid w:val="009057CF"/>
    <w:rsid w:val="00925CD2"/>
    <w:rsid w:val="00925D09"/>
    <w:rsid w:val="00925DD9"/>
    <w:rsid w:val="00930CD9"/>
    <w:rsid w:val="0094599C"/>
    <w:rsid w:val="009534D4"/>
    <w:rsid w:val="00960A61"/>
    <w:rsid w:val="009653B8"/>
    <w:rsid w:val="00970EDB"/>
    <w:rsid w:val="009755AF"/>
    <w:rsid w:val="00985A16"/>
    <w:rsid w:val="009A00CD"/>
    <w:rsid w:val="009B0B25"/>
    <w:rsid w:val="009B0C54"/>
    <w:rsid w:val="009B31BE"/>
    <w:rsid w:val="009B3AF1"/>
    <w:rsid w:val="009C0B73"/>
    <w:rsid w:val="009C6774"/>
    <w:rsid w:val="009C6E84"/>
    <w:rsid w:val="009C71C0"/>
    <w:rsid w:val="009C73B5"/>
    <w:rsid w:val="009D0180"/>
    <w:rsid w:val="009D117D"/>
    <w:rsid w:val="009E2F60"/>
    <w:rsid w:val="009E3268"/>
    <w:rsid w:val="00A03D83"/>
    <w:rsid w:val="00A13B75"/>
    <w:rsid w:val="00A15C41"/>
    <w:rsid w:val="00A166A1"/>
    <w:rsid w:val="00A22E51"/>
    <w:rsid w:val="00A25E59"/>
    <w:rsid w:val="00A26078"/>
    <w:rsid w:val="00A32019"/>
    <w:rsid w:val="00A375A1"/>
    <w:rsid w:val="00A4064A"/>
    <w:rsid w:val="00A4478B"/>
    <w:rsid w:val="00A50D82"/>
    <w:rsid w:val="00A64633"/>
    <w:rsid w:val="00A64724"/>
    <w:rsid w:val="00A64CDE"/>
    <w:rsid w:val="00A67D2C"/>
    <w:rsid w:val="00A728AA"/>
    <w:rsid w:val="00A91E7E"/>
    <w:rsid w:val="00AA6282"/>
    <w:rsid w:val="00AB3CFC"/>
    <w:rsid w:val="00AB415F"/>
    <w:rsid w:val="00AB4710"/>
    <w:rsid w:val="00AC7DC2"/>
    <w:rsid w:val="00AD4A76"/>
    <w:rsid w:val="00AF7E72"/>
    <w:rsid w:val="00B021C1"/>
    <w:rsid w:val="00B21E4A"/>
    <w:rsid w:val="00B24315"/>
    <w:rsid w:val="00B30DA7"/>
    <w:rsid w:val="00B343D7"/>
    <w:rsid w:val="00B37478"/>
    <w:rsid w:val="00B406E3"/>
    <w:rsid w:val="00B464DA"/>
    <w:rsid w:val="00B47CA4"/>
    <w:rsid w:val="00B561D4"/>
    <w:rsid w:val="00B60A13"/>
    <w:rsid w:val="00B670C5"/>
    <w:rsid w:val="00B84A7C"/>
    <w:rsid w:val="00B90A12"/>
    <w:rsid w:val="00B913D4"/>
    <w:rsid w:val="00BA1A19"/>
    <w:rsid w:val="00BA1C1F"/>
    <w:rsid w:val="00BA3926"/>
    <w:rsid w:val="00BA5CDF"/>
    <w:rsid w:val="00BA6B42"/>
    <w:rsid w:val="00BB681D"/>
    <w:rsid w:val="00BC2A3A"/>
    <w:rsid w:val="00BC73E8"/>
    <w:rsid w:val="00BE4845"/>
    <w:rsid w:val="00BE6E79"/>
    <w:rsid w:val="00C00FCD"/>
    <w:rsid w:val="00C071CA"/>
    <w:rsid w:val="00C11F8A"/>
    <w:rsid w:val="00C14C1F"/>
    <w:rsid w:val="00C23E4D"/>
    <w:rsid w:val="00C53BB8"/>
    <w:rsid w:val="00C62BC4"/>
    <w:rsid w:val="00C700A3"/>
    <w:rsid w:val="00C748DA"/>
    <w:rsid w:val="00C75E14"/>
    <w:rsid w:val="00C7682B"/>
    <w:rsid w:val="00C76FDE"/>
    <w:rsid w:val="00C77BB7"/>
    <w:rsid w:val="00C803D5"/>
    <w:rsid w:val="00C825AC"/>
    <w:rsid w:val="00C9181F"/>
    <w:rsid w:val="00C94D57"/>
    <w:rsid w:val="00CA376B"/>
    <w:rsid w:val="00CB03C1"/>
    <w:rsid w:val="00CB293E"/>
    <w:rsid w:val="00CC1170"/>
    <w:rsid w:val="00CC464F"/>
    <w:rsid w:val="00CE00DA"/>
    <w:rsid w:val="00CF3193"/>
    <w:rsid w:val="00D0192A"/>
    <w:rsid w:val="00D12BA5"/>
    <w:rsid w:val="00D12EA7"/>
    <w:rsid w:val="00D31319"/>
    <w:rsid w:val="00D33B2E"/>
    <w:rsid w:val="00D35AD8"/>
    <w:rsid w:val="00D37792"/>
    <w:rsid w:val="00D420A3"/>
    <w:rsid w:val="00D42934"/>
    <w:rsid w:val="00D53B3B"/>
    <w:rsid w:val="00D63E49"/>
    <w:rsid w:val="00D66764"/>
    <w:rsid w:val="00D671EF"/>
    <w:rsid w:val="00D703F1"/>
    <w:rsid w:val="00D8401F"/>
    <w:rsid w:val="00DA5C2F"/>
    <w:rsid w:val="00DA6305"/>
    <w:rsid w:val="00DA6C21"/>
    <w:rsid w:val="00DB268C"/>
    <w:rsid w:val="00DB5765"/>
    <w:rsid w:val="00DC3AC4"/>
    <w:rsid w:val="00DC4AA4"/>
    <w:rsid w:val="00DC6D38"/>
    <w:rsid w:val="00DC7C84"/>
    <w:rsid w:val="00DD4A90"/>
    <w:rsid w:val="00DD4B2F"/>
    <w:rsid w:val="00DE0B33"/>
    <w:rsid w:val="00DF2CAA"/>
    <w:rsid w:val="00DF4370"/>
    <w:rsid w:val="00E01D7D"/>
    <w:rsid w:val="00E03F19"/>
    <w:rsid w:val="00E155C5"/>
    <w:rsid w:val="00E20F33"/>
    <w:rsid w:val="00E2571F"/>
    <w:rsid w:val="00E27CD6"/>
    <w:rsid w:val="00E3179F"/>
    <w:rsid w:val="00E3644B"/>
    <w:rsid w:val="00E44208"/>
    <w:rsid w:val="00E52299"/>
    <w:rsid w:val="00E5494B"/>
    <w:rsid w:val="00E6040F"/>
    <w:rsid w:val="00E6254F"/>
    <w:rsid w:val="00E662C9"/>
    <w:rsid w:val="00E76438"/>
    <w:rsid w:val="00E80E8B"/>
    <w:rsid w:val="00E8663C"/>
    <w:rsid w:val="00E90E07"/>
    <w:rsid w:val="00EA2F5A"/>
    <w:rsid w:val="00EA6A4F"/>
    <w:rsid w:val="00EA70FE"/>
    <w:rsid w:val="00EC4E7F"/>
    <w:rsid w:val="00ED405B"/>
    <w:rsid w:val="00ED56B1"/>
    <w:rsid w:val="00ED623B"/>
    <w:rsid w:val="00EE217F"/>
    <w:rsid w:val="00EE5EE4"/>
    <w:rsid w:val="00EE6AE9"/>
    <w:rsid w:val="00EF4CE0"/>
    <w:rsid w:val="00EF64F6"/>
    <w:rsid w:val="00F02020"/>
    <w:rsid w:val="00F02B9E"/>
    <w:rsid w:val="00F03586"/>
    <w:rsid w:val="00F12541"/>
    <w:rsid w:val="00F16BC1"/>
    <w:rsid w:val="00F24BF2"/>
    <w:rsid w:val="00F24DD5"/>
    <w:rsid w:val="00F27191"/>
    <w:rsid w:val="00F30158"/>
    <w:rsid w:val="00F328A4"/>
    <w:rsid w:val="00F37165"/>
    <w:rsid w:val="00F40D4F"/>
    <w:rsid w:val="00F53169"/>
    <w:rsid w:val="00F547BF"/>
    <w:rsid w:val="00F5590A"/>
    <w:rsid w:val="00F6067B"/>
    <w:rsid w:val="00F66757"/>
    <w:rsid w:val="00F83ACA"/>
    <w:rsid w:val="00F919C3"/>
    <w:rsid w:val="00F91C42"/>
    <w:rsid w:val="00FA3008"/>
    <w:rsid w:val="00FA3A7F"/>
    <w:rsid w:val="00FC1289"/>
    <w:rsid w:val="00FC4403"/>
    <w:rsid w:val="00FD0A1C"/>
    <w:rsid w:val="00FD2F9D"/>
    <w:rsid w:val="00FD6225"/>
    <w:rsid w:val="00FF39EC"/>
    <w:rsid w:val="00FF40C3"/>
    <w:rsid w:val="01CF7782"/>
    <w:rsid w:val="0CAD0AD3"/>
    <w:rsid w:val="19480E7F"/>
    <w:rsid w:val="28EC26AB"/>
    <w:rsid w:val="32467943"/>
    <w:rsid w:val="32800130"/>
    <w:rsid w:val="37BB4313"/>
    <w:rsid w:val="389820A0"/>
    <w:rsid w:val="39440A56"/>
    <w:rsid w:val="3A695799"/>
    <w:rsid w:val="3AF12F79"/>
    <w:rsid w:val="42321C18"/>
    <w:rsid w:val="4B8C43CB"/>
    <w:rsid w:val="57883AC6"/>
    <w:rsid w:val="624E14B2"/>
    <w:rsid w:val="64655A68"/>
    <w:rsid w:val="6495623C"/>
    <w:rsid w:val="695839B3"/>
    <w:rsid w:val="6D2B5F77"/>
    <w:rsid w:val="738457F8"/>
    <w:rsid w:val="7CC42843"/>
    <w:rsid w:val="7FBC3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toc 3"/>
    <w:basedOn w:val="1"/>
    <w:next w:val="1"/>
    <w:unhideWhenUsed/>
    <w:qFormat/>
    <w:uiPriority w:val="39"/>
    <w:pPr>
      <w:widowControl/>
      <w:spacing w:after="100" w:line="276" w:lineRule="auto"/>
      <w:ind w:left="440"/>
      <w:jc w:val="left"/>
    </w:pPr>
    <w:rPr>
      <w:kern w:val="0"/>
      <w:sz w:val="22"/>
    </w:rPr>
  </w:style>
  <w:style w:type="paragraph" w:styleId="4">
    <w:name w:val="Date"/>
    <w:basedOn w:val="1"/>
    <w:next w:val="1"/>
    <w:link w:val="21"/>
    <w:semiHidden/>
    <w:unhideWhenUsed/>
    <w:qFormat/>
    <w:uiPriority w:val="99"/>
    <w:pPr>
      <w:ind w:left="100" w:leftChars="2500"/>
    </w:pPr>
  </w:style>
  <w:style w:type="paragraph" w:styleId="5">
    <w:name w:val="Balloon Text"/>
    <w:basedOn w:val="1"/>
    <w:link w:val="18"/>
    <w:semiHidden/>
    <w:unhideWhenUsed/>
    <w:qFormat/>
    <w:uiPriority w:val="99"/>
    <w:rPr>
      <w:sz w:val="18"/>
      <w:szCs w:val="18"/>
    </w:rPr>
  </w:style>
  <w:style w:type="paragraph" w:styleId="6">
    <w:name w:val="footer"/>
    <w:basedOn w:val="1"/>
    <w:link w:val="15"/>
    <w:unhideWhenUsed/>
    <w:qFormat/>
    <w:uiPriority w:val="99"/>
    <w:pPr>
      <w:tabs>
        <w:tab w:val="center" w:pos="4153"/>
        <w:tab w:val="right" w:pos="8306"/>
      </w:tabs>
      <w:snapToGrid w:val="0"/>
      <w:jc w:val="left"/>
    </w:pPr>
    <w:rPr>
      <w:sz w:val="18"/>
      <w:szCs w:val="18"/>
    </w:rPr>
  </w:style>
  <w:style w:type="paragraph" w:styleId="7">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unhideWhenUsed/>
    <w:qFormat/>
    <w:uiPriority w:val="39"/>
    <w:pPr>
      <w:widowControl/>
      <w:spacing w:after="100" w:line="276" w:lineRule="auto"/>
      <w:jc w:val="left"/>
    </w:pPr>
    <w:rPr>
      <w:kern w:val="0"/>
      <w:sz w:val="22"/>
    </w:rPr>
  </w:style>
  <w:style w:type="paragraph" w:styleId="9">
    <w:name w:val="toc 2"/>
    <w:basedOn w:val="1"/>
    <w:next w:val="1"/>
    <w:unhideWhenUsed/>
    <w:qFormat/>
    <w:uiPriority w:val="39"/>
    <w:pPr>
      <w:widowControl/>
      <w:spacing w:after="100" w:line="276" w:lineRule="auto"/>
      <w:ind w:left="220"/>
      <w:jc w:val="left"/>
    </w:pPr>
    <w:rPr>
      <w:kern w:val="0"/>
      <w:sz w:val="22"/>
    </w:rPr>
  </w:style>
  <w:style w:type="paragraph" w:styleId="10">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13">
    <w:name w:val="Hyperlink"/>
    <w:basedOn w:val="12"/>
    <w:unhideWhenUsed/>
    <w:qFormat/>
    <w:uiPriority w:val="99"/>
    <w:rPr>
      <w:color w:val="0000FF" w:themeColor="hyperlink"/>
      <w:u w:val="single"/>
      <w14:textFill>
        <w14:solidFill>
          <w14:schemeClr w14:val="hlink"/>
        </w14:solidFill>
      </w14:textFill>
    </w:rPr>
  </w:style>
  <w:style w:type="character" w:customStyle="1" w:styleId="14">
    <w:name w:val="页眉 字符"/>
    <w:basedOn w:val="12"/>
    <w:link w:val="7"/>
    <w:qFormat/>
    <w:uiPriority w:val="99"/>
    <w:rPr>
      <w:sz w:val="18"/>
      <w:szCs w:val="18"/>
    </w:rPr>
  </w:style>
  <w:style w:type="character" w:customStyle="1" w:styleId="15">
    <w:name w:val="页脚 字符"/>
    <w:basedOn w:val="12"/>
    <w:link w:val="6"/>
    <w:qFormat/>
    <w:uiPriority w:val="99"/>
    <w:rPr>
      <w:sz w:val="18"/>
      <w:szCs w:val="18"/>
    </w:rPr>
  </w:style>
  <w:style w:type="character" w:customStyle="1" w:styleId="16">
    <w:name w:val="标题 1 字符"/>
    <w:basedOn w:val="12"/>
    <w:link w:val="2"/>
    <w:qFormat/>
    <w:uiPriority w:val="9"/>
    <w:rPr>
      <w:b/>
      <w:bCs/>
      <w:kern w:val="44"/>
      <w:sz w:val="44"/>
      <w:szCs w:val="44"/>
    </w:rPr>
  </w:style>
  <w:style w:type="paragraph" w:customStyle="1" w:styleId="17">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18">
    <w:name w:val="批注框文本 字符"/>
    <w:basedOn w:val="12"/>
    <w:link w:val="5"/>
    <w:semiHidden/>
    <w:qFormat/>
    <w:uiPriority w:val="99"/>
    <w:rPr>
      <w:sz w:val="18"/>
      <w:szCs w:val="18"/>
    </w:rPr>
  </w:style>
  <w:style w:type="paragraph" w:customStyle="1" w:styleId="19">
    <w:name w:val="WPSOffice手动目录 1"/>
    <w:qFormat/>
    <w:uiPriority w:val="0"/>
    <w:rPr>
      <w:rFonts w:asciiTheme="minorHAnsi" w:hAnsiTheme="minorHAnsi" w:eastAsiaTheme="minorEastAsia" w:cstheme="minorBidi"/>
      <w:lang w:val="en-US" w:eastAsia="zh-CN" w:bidi="ar-SA"/>
    </w:rPr>
  </w:style>
  <w:style w:type="paragraph" w:customStyle="1" w:styleId="20">
    <w:name w:val="WPSOffice手动目录 2"/>
    <w:qFormat/>
    <w:uiPriority w:val="0"/>
    <w:pPr>
      <w:ind w:left="200" w:leftChars="200"/>
    </w:pPr>
    <w:rPr>
      <w:rFonts w:asciiTheme="minorHAnsi" w:hAnsiTheme="minorHAnsi" w:eastAsiaTheme="minorEastAsia" w:cstheme="minorBidi"/>
      <w:lang w:val="en-US" w:eastAsia="zh-CN" w:bidi="ar-SA"/>
    </w:rPr>
  </w:style>
  <w:style w:type="character" w:customStyle="1" w:styleId="21">
    <w:name w:val="日期 字符"/>
    <w:basedOn w:val="12"/>
    <w:link w:val="4"/>
    <w:semiHidden/>
    <w:qFormat/>
    <w:uiPriority w:val="99"/>
    <w:rPr>
      <w:kern w:val="2"/>
      <w:sz w:val="21"/>
      <w:szCs w:val="22"/>
    </w:rPr>
  </w:style>
  <w:style w:type="paragraph" w:customStyle="1" w:styleId="22">
    <w:name w:val="TOC 标题2"/>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11</Pages>
  <Words>3164</Words>
  <Characters>3313</Characters>
  <Lines>33</Lines>
  <Paragraphs>9</Paragraphs>
  <TotalTime>4</TotalTime>
  <ScaleCrop>false</ScaleCrop>
  <LinksUpToDate>false</LinksUpToDate>
  <CharactersWithSpaces>3465</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2020-12-29T06:32:00Z</dcterms:created>
  <dc:creator>lenovo</dc:creator>
  <cp:lastModifiedBy>戥天</cp:lastModifiedBy>
  <cp:lastPrinted>2024-12-26T00:29:30Z</cp:lastPrinted>
  <dcterms:modified xsi:type="dcterms:W3CDTF">2024-12-26T00:53:13Z</dcterms:modified>
  <cp:revision>471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DBF4A34A7E6442AA8150B710C6C6DC47</vt:lpwstr>
  </property>
</Properties>
</file>