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8DD4B">
      <w:pPr>
        <w:pStyle w:val="5"/>
        <w:spacing w:line="316" w:lineRule="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19F388F5">
      <w:pPr>
        <w:pStyle w:val="5"/>
        <w:spacing w:line="316" w:lineRule="auto"/>
        <w:rPr>
          <w:rFonts w:hint="default" w:ascii="Times New Roman" w:hAnsi="Times New Roman" w:cs="Times New Roman"/>
        </w:rPr>
      </w:pPr>
    </w:p>
    <w:p w14:paraId="35F8F099">
      <w:pPr>
        <w:pStyle w:val="5"/>
        <w:spacing w:line="246" w:lineRule="auto"/>
        <w:rPr>
          <w:rFonts w:hint="default" w:ascii="Times New Roman" w:hAnsi="Times New Roman" w:cs="Times New Roman"/>
        </w:rPr>
      </w:pPr>
    </w:p>
    <w:p w14:paraId="4B405992">
      <w:pPr>
        <w:pStyle w:val="5"/>
        <w:spacing w:line="247" w:lineRule="auto"/>
        <w:rPr>
          <w:rFonts w:hint="default" w:ascii="Times New Roman" w:hAnsi="Times New Roman" w:cs="Times New Roman"/>
        </w:rPr>
      </w:pPr>
    </w:p>
    <w:p w14:paraId="49EDB347">
      <w:pPr>
        <w:pStyle w:val="5"/>
        <w:spacing w:line="247" w:lineRule="auto"/>
        <w:rPr>
          <w:rFonts w:hint="default" w:ascii="Times New Roman" w:hAnsi="Times New Roman" w:cs="Times New Roman"/>
        </w:rPr>
      </w:pPr>
    </w:p>
    <w:p w14:paraId="27E523AA">
      <w:pPr>
        <w:pStyle w:val="5"/>
        <w:spacing w:line="247" w:lineRule="auto"/>
        <w:rPr>
          <w:rFonts w:hint="default" w:ascii="Times New Roman" w:hAnsi="Times New Roman" w:cs="Times New Roman"/>
        </w:rPr>
      </w:pPr>
    </w:p>
    <w:p w14:paraId="4703B05F">
      <w:pPr>
        <w:pStyle w:val="5"/>
        <w:spacing w:line="247" w:lineRule="auto"/>
        <w:rPr>
          <w:rFonts w:hint="default" w:ascii="Times New Roman" w:hAnsi="Times New Roman" w:cs="Times New Roman"/>
        </w:rPr>
      </w:pPr>
    </w:p>
    <w:p w14:paraId="51265BB1">
      <w:pPr>
        <w:pStyle w:val="5"/>
        <w:spacing w:line="247" w:lineRule="auto"/>
        <w:rPr>
          <w:rFonts w:hint="default" w:ascii="Times New Roman" w:hAnsi="Times New Roman" w:cs="Times New Roman"/>
        </w:rPr>
      </w:pPr>
    </w:p>
    <w:p w14:paraId="745532D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outlineLvl w:val="9"/>
        <w:rPr>
          <w:rFonts w:hint="default" w:ascii="Times New Roman" w:hAnsi="Times New Roman" w:eastAsia="宋体" w:cs="Times New Roman"/>
          <w:b/>
          <w:bCs/>
          <w:spacing w:val="9"/>
          <w:sz w:val="43"/>
          <w:szCs w:val="43"/>
        </w:rPr>
      </w:pPr>
      <w:r>
        <w:rPr>
          <w:rFonts w:hint="default" w:ascii="Times New Roman" w:hAnsi="Times New Roman" w:eastAsia="宋体" w:cs="Times New Roman"/>
          <w:b/>
          <w:bCs/>
          <w:spacing w:val="9"/>
          <w:sz w:val="43"/>
          <w:szCs w:val="43"/>
          <w:lang w:val="en-US" w:eastAsia="zh-CN"/>
        </w:rPr>
        <w:t>随州市</w:t>
      </w:r>
      <w:r>
        <w:rPr>
          <w:rFonts w:hint="default" w:ascii="Times New Roman" w:hAnsi="Times New Roman" w:eastAsia="宋体" w:cs="Times New Roman"/>
          <w:b/>
          <w:bCs/>
          <w:spacing w:val="9"/>
          <w:sz w:val="43"/>
          <w:szCs w:val="43"/>
        </w:rPr>
        <w:t>重污染天气</w:t>
      </w:r>
      <w:r>
        <w:rPr>
          <w:rFonts w:hint="default" w:ascii="Times New Roman" w:hAnsi="Times New Roman" w:eastAsia="宋体" w:cs="Times New Roman"/>
          <w:b/>
          <w:bCs/>
          <w:spacing w:val="9"/>
          <w:sz w:val="43"/>
          <w:szCs w:val="43"/>
          <w:lang w:val="en-US" w:eastAsia="zh-CN"/>
        </w:rPr>
        <w:t>主要</w:t>
      </w:r>
      <w:r>
        <w:rPr>
          <w:rFonts w:hint="default" w:ascii="Times New Roman" w:hAnsi="Times New Roman" w:eastAsia="宋体" w:cs="Times New Roman"/>
          <w:b/>
          <w:bCs/>
          <w:spacing w:val="9"/>
          <w:sz w:val="43"/>
          <w:szCs w:val="43"/>
        </w:rPr>
        <w:t>行业</w:t>
      </w:r>
    </w:p>
    <w:p w14:paraId="2F518D8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outlineLvl w:val="9"/>
        <w:rPr>
          <w:rFonts w:hint="default" w:ascii="Times New Roman" w:hAnsi="Times New Roman" w:eastAsia="宋体" w:cs="Times New Roman"/>
          <w:sz w:val="43"/>
          <w:szCs w:val="43"/>
        </w:rPr>
      </w:pPr>
      <w:r>
        <w:rPr>
          <w:rFonts w:hint="default" w:ascii="Times New Roman" w:hAnsi="Times New Roman" w:eastAsia="宋体" w:cs="Times New Roman"/>
          <w:b/>
          <w:bCs/>
          <w:spacing w:val="9"/>
          <w:sz w:val="43"/>
          <w:szCs w:val="43"/>
        </w:rPr>
        <w:t>应急减排措施</w:t>
      </w:r>
      <w:r>
        <w:rPr>
          <w:rFonts w:hint="default" w:ascii="Times New Roman" w:hAnsi="Times New Roman" w:eastAsia="宋体" w:cs="Times New Roman"/>
          <w:b/>
          <w:bCs/>
          <w:spacing w:val="9"/>
          <w:sz w:val="43"/>
          <w:szCs w:val="43"/>
          <w:lang w:val="en-US" w:eastAsia="zh-CN"/>
        </w:rPr>
        <w:t>建议</w:t>
      </w:r>
    </w:p>
    <w:p w14:paraId="74D23AE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cs="Times New Roman"/>
        </w:rPr>
      </w:pPr>
    </w:p>
    <w:p w14:paraId="7FA31FD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cs="Times New Roman"/>
        </w:rPr>
      </w:pPr>
    </w:p>
    <w:p w14:paraId="3192F472">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eastAsia="宋体" w:cs="Times New Roman"/>
          <w:sz w:val="31"/>
          <w:szCs w:val="31"/>
        </w:rPr>
      </w:pPr>
      <w:r>
        <w:rPr>
          <w:rFonts w:hint="default" w:ascii="Times New Roman" w:hAnsi="Times New Roman" w:eastAsia="宋体" w:cs="Times New Roman"/>
          <w:b/>
          <w:bCs/>
          <w:spacing w:val="1"/>
          <w:sz w:val="31"/>
          <w:szCs w:val="31"/>
          <w:lang w:eastAsia="zh-CN"/>
        </w:rPr>
        <w:t>（</w:t>
      </w:r>
      <w:r>
        <w:rPr>
          <w:rFonts w:hint="default" w:ascii="Times New Roman" w:hAnsi="Times New Roman" w:eastAsia="宋体" w:cs="Times New Roman"/>
          <w:b/>
          <w:bCs/>
          <w:spacing w:val="1"/>
          <w:sz w:val="31"/>
          <w:szCs w:val="31"/>
        </w:rPr>
        <w:t>202</w:t>
      </w:r>
      <w:r>
        <w:rPr>
          <w:rFonts w:hint="default" w:ascii="Times New Roman" w:hAnsi="Times New Roman" w:eastAsia="宋体" w:cs="Times New Roman"/>
          <w:b/>
          <w:bCs/>
          <w:spacing w:val="1"/>
          <w:sz w:val="31"/>
          <w:szCs w:val="31"/>
          <w:lang w:val="en-US" w:eastAsia="zh-CN"/>
        </w:rPr>
        <w:t>6</w:t>
      </w:r>
      <w:r>
        <w:rPr>
          <w:rFonts w:hint="default" w:ascii="Times New Roman" w:hAnsi="Times New Roman" w:eastAsia="宋体" w:cs="Times New Roman"/>
          <w:b/>
          <w:bCs/>
          <w:spacing w:val="1"/>
          <w:sz w:val="31"/>
          <w:szCs w:val="31"/>
        </w:rPr>
        <w:t>年版）</w:t>
      </w:r>
    </w:p>
    <w:p w14:paraId="4FC521D3">
      <w:pPr>
        <w:pStyle w:val="5"/>
        <w:spacing w:line="242" w:lineRule="auto"/>
        <w:rPr>
          <w:rFonts w:hint="default" w:ascii="Times New Roman" w:hAnsi="Times New Roman" w:cs="Times New Roman"/>
        </w:rPr>
      </w:pPr>
    </w:p>
    <w:p w14:paraId="7DF00846">
      <w:pPr>
        <w:pStyle w:val="5"/>
        <w:spacing w:line="242" w:lineRule="auto"/>
        <w:rPr>
          <w:rFonts w:hint="default" w:ascii="Times New Roman" w:hAnsi="Times New Roman" w:cs="Times New Roman"/>
        </w:rPr>
      </w:pPr>
    </w:p>
    <w:p w14:paraId="69026360">
      <w:pPr>
        <w:pStyle w:val="5"/>
        <w:spacing w:line="242" w:lineRule="auto"/>
        <w:rPr>
          <w:rFonts w:hint="default" w:ascii="Times New Roman" w:hAnsi="Times New Roman" w:cs="Times New Roman"/>
        </w:rPr>
      </w:pPr>
      <w:bookmarkStart w:id="94" w:name="_GoBack"/>
      <w:bookmarkEnd w:id="94"/>
    </w:p>
    <w:p w14:paraId="581686E6">
      <w:pPr>
        <w:pStyle w:val="5"/>
        <w:spacing w:line="242" w:lineRule="auto"/>
        <w:rPr>
          <w:rFonts w:hint="default" w:ascii="Times New Roman" w:hAnsi="Times New Roman" w:cs="Times New Roman"/>
        </w:rPr>
      </w:pPr>
    </w:p>
    <w:p w14:paraId="51C6E895">
      <w:pPr>
        <w:pStyle w:val="5"/>
        <w:spacing w:line="242" w:lineRule="auto"/>
        <w:rPr>
          <w:rFonts w:hint="default" w:ascii="Times New Roman" w:hAnsi="Times New Roman" w:cs="Times New Roman"/>
        </w:rPr>
      </w:pPr>
    </w:p>
    <w:p w14:paraId="1B4574C3">
      <w:pPr>
        <w:pStyle w:val="5"/>
        <w:spacing w:line="242" w:lineRule="auto"/>
        <w:rPr>
          <w:rFonts w:hint="default" w:ascii="Times New Roman" w:hAnsi="Times New Roman" w:cs="Times New Roman"/>
        </w:rPr>
      </w:pPr>
    </w:p>
    <w:p w14:paraId="2E7F8817">
      <w:pPr>
        <w:pStyle w:val="5"/>
        <w:spacing w:line="242" w:lineRule="auto"/>
        <w:rPr>
          <w:rFonts w:hint="default" w:ascii="Times New Roman" w:hAnsi="Times New Roman" w:cs="Times New Roman"/>
        </w:rPr>
      </w:pPr>
    </w:p>
    <w:p w14:paraId="7D4295B8">
      <w:pPr>
        <w:pStyle w:val="5"/>
        <w:spacing w:line="242" w:lineRule="auto"/>
        <w:rPr>
          <w:rFonts w:hint="default" w:ascii="Times New Roman" w:hAnsi="Times New Roman" w:cs="Times New Roman"/>
        </w:rPr>
      </w:pPr>
    </w:p>
    <w:p w14:paraId="7D9D3E5C">
      <w:pPr>
        <w:pStyle w:val="5"/>
        <w:spacing w:line="242" w:lineRule="auto"/>
        <w:rPr>
          <w:rFonts w:hint="default" w:ascii="Times New Roman" w:hAnsi="Times New Roman" w:cs="Times New Roman"/>
        </w:rPr>
      </w:pPr>
    </w:p>
    <w:p w14:paraId="58EC3784">
      <w:pPr>
        <w:pStyle w:val="5"/>
        <w:spacing w:line="242" w:lineRule="auto"/>
        <w:rPr>
          <w:rFonts w:hint="default" w:ascii="Times New Roman" w:hAnsi="Times New Roman" w:cs="Times New Roman"/>
        </w:rPr>
      </w:pPr>
    </w:p>
    <w:p w14:paraId="2EB48D48">
      <w:pPr>
        <w:pStyle w:val="5"/>
        <w:spacing w:line="242" w:lineRule="auto"/>
        <w:rPr>
          <w:rFonts w:hint="default" w:ascii="Times New Roman" w:hAnsi="Times New Roman" w:cs="Times New Roman"/>
        </w:rPr>
      </w:pPr>
    </w:p>
    <w:p w14:paraId="4B8E3175">
      <w:pPr>
        <w:pStyle w:val="5"/>
        <w:spacing w:line="242" w:lineRule="auto"/>
        <w:rPr>
          <w:rFonts w:hint="default" w:ascii="Times New Roman" w:hAnsi="Times New Roman" w:cs="Times New Roman"/>
        </w:rPr>
      </w:pPr>
    </w:p>
    <w:p w14:paraId="25E75396">
      <w:pPr>
        <w:pStyle w:val="5"/>
        <w:spacing w:line="242" w:lineRule="auto"/>
        <w:rPr>
          <w:rFonts w:hint="default" w:ascii="Times New Roman" w:hAnsi="Times New Roman" w:cs="Times New Roman"/>
        </w:rPr>
      </w:pPr>
    </w:p>
    <w:p w14:paraId="4793B434">
      <w:pPr>
        <w:pStyle w:val="5"/>
        <w:spacing w:line="242" w:lineRule="auto"/>
        <w:rPr>
          <w:rFonts w:hint="default" w:ascii="Times New Roman" w:hAnsi="Times New Roman" w:cs="Times New Roman"/>
        </w:rPr>
      </w:pPr>
    </w:p>
    <w:p w14:paraId="38507A73">
      <w:pPr>
        <w:pStyle w:val="5"/>
        <w:spacing w:line="242" w:lineRule="auto"/>
        <w:rPr>
          <w:rFonts w:hint="default" w:ascii="Times New Roman" w:hAnsi="Times New Roman" w:cs="Times New Roman"/>
        </w:rPr>
      </w:pPr>
    </w:p>
    <w:p w14:paraId="7A7FC0B1">
      <w:pPr>
        <w:pStyle w:val="5"/>
        <w:spacing w:line="242" w:lineRule="auto"/>
        <w:rPr>
          <w:rFonts w:hint="default" w:ascii="Times New Roman" w:hAnsi="Times New Roman" w:cs="Times New Roman"/>
        </w:rPr>
      </w:pPr>
    </w:p>
    <w:p w14:paraId="57E35F20">
      <w:pPr>
        <w:pStyle w:val="5"/>
        <w:spacing w:line="242" w:lineRule="auto"/>
        <w:rPr>
          <w:rFonts w:hint="default" w:ascii="Times New Roman" w:hAnsi="Times New Roman" w:cs="Times New Roman"/>
        </w:rPr>
      </w:pPr>
    </w:p>
    <w:p w14:paraId="0C26E13D">
      <w:pPr>
        <w:pStyle w:val="5"/>
        <w:spacing w:line="242" w:lineRule="auto"/>
        <w:rPr>
          <w:rFonts w:hint="default" w:ascii="Times New Roman" w:hAnsi="Times New Roman" w:cs="Times New Roman"/>
        </w:rPr>
      </w:pPr>
    </w:p>
    <w:p w14:paraId="7B0CE320">
      <w:pPr>
        <w:pStyle w:val="5"/>
        <w:spacing w:line="242" w:lineRule="auto"/>
        <w:rPr>
          <w:rFonts w:hint="default" w:ascii="Times New Roman" w:hAnsi="Times New Roman" w:cs="Times New Roman"/>
        </w:rPr>
      </w:pPr>
    </w:p>
    <w:p w14:paraId="284D3688">
      <w:pPr>
        <w:pStyle w:val="5"/>
        <w:spacing w:line="243" w:lineRule="auto"/>
        <w:rPr>
          <w:rFonts w:hint="default" w:ascii="Times New Roman" w:hAnsi="Times New Roman" w:cs="Times New Roman"/>
        </w:rPr>
      </w:pPr>
    </w:p>
    <w:p w14:paraId="60080E76">
      <w:pPr>
        <w:pStyle w:val="5"/>
        <w:spacing w:line="243" w:lineRule="auto"/>
        <w:rPr>
          <w:rFonts w:hint="default" w:ascii="Times New Roman" w:hAnsi="Times New Roman" w:cs="Times New Roman"/>
        </w:rPr>
      </w:pPr>
    </w:p>
    <w:p w14:paraId="333F67A4">
      <w:pPr>
        <w:pStyle w:val="5"/>
        <w:spacing w:line="243" w:lineRule="auto"/>
        <w:rPr>
          <w:rFonts w:hint="default" w:ascii="Times New Roman" w:hAnsi="Times New Roman" w:cs="Times New Roman"/>
        </w:rPr>
      </w:pPr>
    </w:p>
    <w:p w14:paraId="40BE65B7">
      <w:pPr>
        <w:pStyle w:val="5"/>
        <w:spacing w:line="243" w:lineRule="auto"/>
        <w:rPr>
          <w:rFonts w:hint="default" w:ascii="Times New Roman" w:hAnsi="Times New Roman" w:cs="Times New Roman"/>
        </w:rPr>
      </w:pPr>
    </w:p>
    <w:p w14:paraId="0E2DC3E3">
      <w:pPr>
        <w:pStyle w:val="5"/>
        <w:spacing w:line="243" w:lineRule="auto"/>
        <w:rPr>
          <w:rFonts w:hint="default" w:ascii="Times New Roman" w:hAnsi="Times New Roman" w:cs="Times New Roman"/>
        </w:rPr>
      </w:pPr>
    </w:p>
    <w:p w14:paraId="0BBBCB72">
      <w:pPr>
        <w:pStyle w:val="5"/>
        <w:spacing w:line="243" w:lineRule="auto"/>
        <w:rPr>
          <w:rFonts w:hint="default" w:ascii="Times New Roman" w:hAnsi="Times New Roman" w:cs="Times New Roman"/>
        </w:rPr>
      </w:pPr>
    </w:p>
    <w:p w14:paraId="167DE2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eastAsia="宋体" w:cs="Times New Roman"/>
          <w:b/>
          <w:bCs/>
          <w:spacing w:val="6"/>
          <w:sz w:val="32"/>
          <w:szCs w:val="32"/>
          <w:lang w:val="en-US" w:eastAsia="zh-CN"/>
        </w:rPr>
      </w:pPr>
      <w:r>
        <w:rPr>
          <w:rFonts w:hint="default" w:ascii="Times New Roman" w:hAnsi="Times New Roman" w:eastAsia="宋体" w:cs="Times New Roman"/>
          <w:b/>
          <w:bCs/>
          <w:spacing w:val="6"/>
          <w:sz w:val="32"/>
          <w:szCs w:val="32"/>
          <w:lang w:val="en-US" w:eastAsia="zh-CN"/>
        </w:rPr>
        <w:t>随州市生态环境局</w:t>
      </w:r>
    </w:p>
    <w:p w14:paraId="5FC616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eastAsia="宋体" w:cs="Times New Roman"/>
          <w:sz w:val="31"/>
          <w:szCs w:val="31"/>
        </w:rPr>
      </w:pPr>
      <w:r>
        <w:rPr>
          <w:rFonts w:hint="default" w:ascii="Times New Roman" w:hAnsi="Times New Roman" w:eastAsia="宋体" w:cs="Times New Roman"/>
          <w:b/>
          <w:bCs/>
          <w:spacing w:val="-2"/>
          <w:sz w:val="32"/>
          <w:szCs w:val="32"/>
        </w:rPr>
        <w:t>202</w:t>
      </w:r>
      <w:r>
        <w:rPr>
          <w:rFonts w:hint="default" w:ascii="Times New Roman" w:hAnsi="Times New Roman" w:eastAsia="宋体" w:cs="Times New Roman"/>
          <w:b/>
          <w:bCs/>
          <w:spacing w:val="-2"/>
          <w:sz w:val="32"/>
          <w:szCs w:val="32"/>
          <w:lang w:val="en-US" w:eastAsia="zh-CN"/>
        </w:rPr>
        <w:t>6</w:t>
      </w:r>
      <w:r>
        <w:rPr>
          <w:rFonts w:hint="default" w:ascii="Times New Roman" w:hAnsi="Times New Roman" w:eastAsia="宋体" w:cs="Times New Roman"/>
          <w:b/>
          <w:bCs/>
          <w:spacing w:val="-2"/>
          <w:sz w:val="32"/>
          <w:szCs w:val="32"/>
        </w:rPr>
        <w:t>年</w:t>
      </w:r>
      <w:r>
        <w:rPr>
          <w:rFonts w:hint="default" w:ascii="Times New Roman" w:hAnsi="Times New Roman" w:eastAsia="宋体" w:cs="Times New Roman"/>
          <w:b/>
          <w:bCs/>
          <w:spacing w:val="-2"/>
          <w:sz w:val="32"/>
          <w:szCs w:val="32"/>
          <w:lang w:val="en-US" w:eastAsia="zh-CN"/>
        </w:rPr>
        <w:t>2</w:t>
      </w:r>
      <w:r>
        <w:rPr>
          <w:rFonts w:hint="default" w:ascii="Times New Roman" w:hAnsi="Times New Roman" w:eastAsia="宋体" w:cs="Times New Roman"/>
          <w:b/>
          <w:bCs/>
          <w:spacing w:val="-2"/>
          <w:sz w:val="32"/>
          <w:szCs w:val="32"/>
        </w:rPr>
        <w:t>月</w:t>
      </w:r>
    </w:p>
    <w:p w14:paraId="67EC9B2B">
      <w:pPr>
        <w:spacing w:line="263" w:lineRule="auto"/>
        <w:rPr>
          <w:rFonts w:hint="default" w:ascii="Times New Roman" w:hAnsi="Times New Roman" w:eastAsia="微软雅黑" w:cs="Times New Roman"/>
          <w:sz w:val="31"/>
          <w:szCs w:val="31"/>
        </w:rPr>
        <w:sectPr>
          <w:footerReference r:id="rId5" w:type="default"/>
          <w:pgSz w:w="11906" w:h="16839"/>
          <w:pgMar w:top="1440" w:right="1080" w:bottom="1440" w:left="1080" w:header="0" w:footer="1422" w:gutter="0"/>
          <w:pgBorders>
            <w:top w:val="none" w:sz="0" w:space="0"/>
            <w:left w:val="none" w:sz="0" w:space="0"/>
            <w:bottom w:val="none" w:sz="0" w:space="0"/>
            <w:right w:val="none" w:sz="0" w:space="0"/>
          </w:pgBorders>
          <w:pgNumType w:fmt="decimal"/>
          <w:cols w:space="720" w:num="1"/>
        </w:sectPr>
      </w:pPr>
    </w:p>
    <w:p w14:paraId="060B24DC">
      <w:pPr>
        <w:pStyle w:val="5"/>
        <w:spacing w:line="286" w:lineRule="auto"/>
        <w:rPr>
          <w:rFonts w:hint="default" w:ascii="Times New Roman" w:hAnsi="Times New Roman" w:cs="Times New Roman"/>
          <w:sz w:val="32"/>
          <w:szCs w:val="32"/>
        </w:rPr>
      </w:pPr>
    </w:p>
    <w:p w14:paraId="3DE26F06">
      <w:pPr>
        <w:spacing w:before="0" w:after="0" w:line="240" w:lineRule="auto"/>
        <w:ind w:left="0" w:leftChars="0" w:right="0" w:rightChars="0" w:firstLine="0" w:firstLineChars="0"/>
        <w:jc w:val="center"/>
        <w:rPr>
          <w:rFonts w:hint="default" w:ascii="Times New Roman" w:hAnsi="Times New Roman" w:cs="Times New Roman"/>
          <w:sz w:val="40"/>
          <w:szCs w:val="40"/>
        </w:rPr>
      </w:pPr>
      <w:r>
        <w:rPr>
          <w:rFonts w:hint="default" w:ascii="Times New Roman" w:hAnsi="Times New Roman" w:eastAsia="宋体" w:cs="Times New Roman"/>
          <w:sz w:val="40"/>
          <w:szCs w:val="40"/>
        </w:rPr>
        <w:t>目录</w:t>
      </w:r>
    </w:p>
    <w:p w14:paraId="6D449542">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40"/>
          <w:szCs w:val="40"/>
          <w:lang w:val="en-US" w:eastAsia="en-US" w:bidi="ar-SA"/>
        </w:rPr>
        <w:fldChar w:fldCharType="begin"/>
      </w:r>
      <w:r>
        <w:rPr>
          <w:rFonts w:hint="default" w:ascii="Times New Roman" w:hAnsi="Times New Roman" w:eastAsia="Times New Roman" w:cs="Times New Roman"/>
          <w:snapToGrid w:val="0"/>
          <w:color w:val="000000"/>
          <w:kern w:val="0"/>
          <w:sz w:val="40"/>
          <w:szCs w:val="40"/>
          <w:lang w:val="en-US" w:eastAsia="en-US" w:bidi="ar-SA"/>
        </w:rPr>
        <w:instrText xml:space="preserve">TOC \o "1-2" \h \u </w:instrText>
      </w:r>
      <w:r>
        <w:rPr>
          <w:rFonts w:hint="default" w:ascii="Times New Roman" w:hAnsi="Times New Roman" w:eastAsia="Times New Roman" w:cs="Times New Roman"/>
          <w:snapToGrid w:val="0"/>
          <w:color w:val="000000"/>
          <w:kern w:val="0"/>
          <w:sz w:val="40"/>
          <w:szCs w:val="40"/>
          <w:lang w:val="en-US" w:eastAsia="en-US" w:bidi="ar-SA"/>
        </w:rPr>
        <w:fldChar w:fldCharType="separate"/>
      </w: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_Toc9932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rPr>
        <w:t>一、矿石采选与加工</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_Toc9932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1629A19">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_Toc22132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_Toc22132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253462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_Toc18199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_Toc18199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1EC1E62">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_Toc28873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三</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_Toc28873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5BE4DAC">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_Toc20878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_Toc20878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3A65DC4">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_Toc25503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_Toc25503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185CB4F">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_Toc26238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_Toc26238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CE3D011">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_Toc28702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sz w:val="32"/>
          <w:szCs w:val="48"/>
          <w:lang w:val="en-US" w:eastAsia="zh-CN"/>
        </w:rPr>
        <w:t>二</w:t>
      </w:r>
      <w:r>
        <w:rPr>
          <w:rFonts w:hint="default" w:ascii="Times New Roman" w:hAnsi="Times New Roman" w:cs="Times New Roman"/>
          <w:sz w:val="32"/>
          <w:szCs w:val="48"/>
        </w:rPr>
        <w:t>、纺织印染与服饰制造</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_Toc28702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FF5634D">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_Toc9267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_Toc9267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F302C0F">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_Toc15877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二</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_Toc15877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D3B263E">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_Toc5007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highlight w:val="none"/>
          <w:lang w:eastAsia="zh-CN"/>
        </w:rPr>
        <w:t>（</w:t>
      </w:r>
      <w:r>
        <w:rPr>
          <w:rFonts w:hint="default" w:ascii="Times New Roman" w:hAnsi="Times New Roman" w:eastAsia="楷体" w:cs="Times New Roman"/>
          <w:sz w:val="32"/>
          <w:szCs w:val="44"/>
          <w:highlight w:val="none"/>
        </w:rPr>
        <w:t>三</w:t>
      </w:r>
      <w:r>
        <w:rPr>
          <w:rFonts w:hint="default" w:ascii="Times New Roman" w:hAnsi="Times New Roman" w:eastAsia="楷体" w:cs="Times New Roman"/>
          <w:sz w:val="32"/>
          <w:szCs w:val="44"/>
          <w:highlight w:val="none"/>
          <w:lang w:eastAsia="zh-CN"/>
        </w:rPr>
        <w:t>）</w:t>
      </w:r>
      <w:r>
        <w:rPr>
          <w:rFonts w:hint="default" w:ascii="Times New Roman" w:hAnsi="Times New Roman" w:eastAsia="楷体" w:cs="Times New Roman"/>
          <w:sz w:val="32"/>
          <w:szCs w:val="44"/>
          <w:highlight w:val="none"/>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_Toc5007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6B6DA9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_Toc6751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_Toc6751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94F0F6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_Toc24154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_Toc24154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EF2C63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_Toc32020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_Toc32020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B52ACC5">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_Toc17685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sz w:val="32"/>
          <w:szCs w:val="48"/>
          <w:lang w:val="en-US" w:eastAsia="zh-CN"/>
        </w:rPr>
        <w:t>三</w:t>
      </w:r>
      <w:r>
        <w:rPr>
          <w:rFonts w:hint="default" w:ascii="Times New Roman" w:hAnsi="Times New Roman" w:cs="Times New Roman"/>
          <w:sz w:val="32"/>
          <w:szCs w:val="48"/>
        </w:rPr>
        <w:t>、有机化工</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_Toc17685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9F3390B">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_Toc5111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_Toc5111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D968BB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_Toc14416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二</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_Toc14416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20F7B27">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_Toc18231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三</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_Toc18231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C3CC7E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_Toc23002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_Toc23002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DBF27A3">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A12460A">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_Toc3135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_Toc3135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B87F8DF">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_Toc9794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四、汽修行业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_Toc9794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33A71E5">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_Toc11125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_Toc11125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9DB4D9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_Toc19354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_Toc19354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B0446DC">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_Toc8098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（三）主要污染物产排环节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_Toc8098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CD960F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_Toc31504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（四）绩效</w:t>
      </w:r>
      <w:r>
        <w:rPr>
          <w:rFonts w:hint="default" w:ascii="Times New Roman" w:hAnsi="Times New Roman" w:eastAsia="楷体" w:cs="Times New Roman"/>
          <w:sz w:val="32"/>
          <w:szCs w:val="44"/>
          <w:lang w:val="en-US" w:eastAsia="zh-CN"/>
        </w:rPr>
        <w:t>分级</w:t>
      </w:r>
      <w:r>
        <w:rPr>
          <w:rFonts w:hint="default" w:ascii="Times New Roman" w:hAnsi="Times New Roman" w:eastAsia="楷体" w:cs="Times New Roman"/>
          <w:sz w:val="32"/>
          <w:szCs w:val="44"/>
          <w:lang w:eastAsia="zh-CN"/>
        </w:rPr>
        <w:t>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_Toc31504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233ECA4">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_Toc17251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_Toc17251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4ED9645">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_Toc30470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（六）核查方法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_Toc30470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62166EE">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_Toc8444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五、沥青搅拌站</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_Toc8444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43E583A">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_Toc21610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_Toc21610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D0FEC3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_Toc26201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_Toc26201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8AF127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_Toc11090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（三）主要污染物产排环节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_Toc11090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32</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425460D">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_Toc11722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（四）绩效分级指标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_Toc11722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33</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D151637">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_Toc11563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_Toc11563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2AB539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_Toc27097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（六）核查方法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_Toc27097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38</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A45181F">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_Toc21963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六、通用涉PM、VOCs行业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_Toc21963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38</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47DC1E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_Toc29878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（一）绩效</w:t>
      </w:r>
      <w:r>
        <w:rPr>
          <w:rFonts w:hint="default" w:ascii="Times New Roman" w:hAnsi="Times New Roman" w:eastAsia="楷体" w:cs="Times New Roman"/>
          <w:bCs/>
          <w:spacing w:val="-10"/>
          <w:sz w:val="32"/>
          <w:szCs w:val="44"/>
          <w:lang w:val="en-US" w:eastAsia="zh-CN"/>
        </w:rPr>
        <w:t>分级</w:t>
      </w:r>
      <w:r>
        <w:rPr>
          <w:rFonts w:hint="default" w:ascii="Times New Roman" w:hAnsi="Times New Roman" w:eastAsia="楷体" w:cs="Times New Roman"/>
          <w:bCs/>
          <w:spacing w:val="-10"/>
          <w:sz w:val="32"/>
          <w:szCs w:val="44"/>
          <w:lang w:eastAsia="zh-CN"/>
        </w:rPr>
        <w:t>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_Toc29878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6CE02B1">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_Toc21922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（二）减排措施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_Toc21922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32DE3F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_Toc2052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bCs/>
          <w:spacing w:val="-2"/>
          <w:sz w:val="32"/>
          <w:szCs w:val="44"/>
          <w:lang w:eastAsia="zh-CN"/>
        </w:rPr>
        <w:t>（三）核查方法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_Toc2052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DFE8026">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_Toc1756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七、涉锅炉/炉窑排放企业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_Toc1756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9AF427E">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_Toc18445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（一）绩效分级指标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_Toc18445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7B286D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_Toc3128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（二）减排措施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_Toc3128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DF9548B">
      <w:pPr>
        <w:pStyle w:val="9"/>
        <w:tabs>
          <w:tab w:val="right" w:leader="dot" w:pos="9746"/>
        </w:tabs>
        <w:rPr>
          <w:rFonts w:hint="default" w:ascii="Times New Roman" w:hAnsi="Times New Roman" w:cs="Times New Roman"/>
          <w:sz w:val="28"/>
          <w:szCs w:val="28"/>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_Toc9647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（三）核查方法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_Toc9647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9912A69">
      <w:pPr>
        <w:spacing w:line="202" w:lineRule="auto"/>
        <w:rPr>
          <w:rFonts w:hint="default" w:ascii="Times New Roman" w:hAnsi="Times New Roman" w:eastAsia="Times New Roman" w:cs="Times New Roman"/>
          <w:snapToGrid w:val="0"/>
          <w:color w:val="000000"/>
          <w:kern w:val="0"/>
          <w:sz w:val="21"/>
          <w:szCs w:val="31"/>
          <w:lang w:val="en-US" w:eastAsia="en-US" w:bidi="ar-SA"/>
        </w:rPr>
      </w:pPr>
      <w:r>
        <w:rPr>
          <w:rFonts w:hint="default" w:ascii="Times New Roman" w:hAnsi="Times New Roman" w:eastAsia="Times New Roman" w:cs="Times New Roman"/>
          <w:snapToGrid w:val="0"/>
          <w:color w:val="000000"/>
          <w:kern w:val="0"/>
          <w:sz w:val="28"/>
          <w:szCs w:val="40"/>
          <w:lang w:val="en-US" w:eastAsia="en-US" w:bidi="ar-SA"/>
        </w:rPr>
        <w:fldChar w:fldCharType="end"/>
      </w:r>
    </w:p>
    <w:p w14:paraId="0BFD1ACC">
      <w:pPr>
        <w:spacing w:line="202" w:lineRule="auto"/>
        <w:rPr>
          <w:rFonts w:hint="default" w:ascii="Times New Roman" w:hAnsi="Times New Roman" w:eastAsia="Times New Roman" w:cs="Times New Roman"/>
          <w:snapToGrid w:val="0"/>
          <w:color w:val="000000"/>
          <w:kern w:val="0"/>
          <w:sz w:val="21"/>
          <w:szCs w:val="31"/>
          <w:lang w:val="en-US" w:eastAsia="en-US" w:bidi="ar-SA"/>
        </w:rPr>
      </w:pPr>
    </w:p>
    <w:p w14:paraId="47A13183">
      <w:pPr>
        <w:spacing w:line="202" w:lineRule="auto"/>
        <w:rPr>
          <w:rFonts w:hint="default" w:ascii="Times New Roman" w:hAnsi="Times New Roman" w:eastAsia="Times New Roman" w:cs="Times New Roman"/>
          <w:snapToGrid w:val="0"/>
          <w:color w:val="000000"/>
          <w:kern w:val="0"/>
          <w:sz w:val="21"/>
          <w:szCs w:val="31"/>
          <w:lang w:val="en-US" w:eastAsia="en-US" w:bidi="ar-SA"/>
        </w:rPr>
        <w:sectPr>
          <w:footerReference r:id="rId6" w:type="default"/>
          <w:pgSz w:w="11906" w:h="16839"/>
          <w:pgMar w:top="1440" w:right="1080" w:bottom="1440" w:left="1080" w:header="0" w:footer="1422" w:gutter="0"/>
          <w:pgBorders>
            <w:top w:val="none" w:sz="0" w:space="0"/>
            <w:left w:val="none" w:sz="0" w:space="0"/>
            <w:bottom w:val="none" w:sz="0" w:space="0"/>
            <w:right w:val="none" w:sz="0" w:space="0"/>
          </w:pgBorders>
          <w:pgNumType w:fmt="upperRoman" w:start="1"/>
          <w:cols w:space="720" w:num="1"/>
        </w:sectPr>
      </w:pPr>
    </w:p>
    <w:p w14:paraId="0D8DF27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center"/>
        <w:textAlignment w:val="baseline"/>
        <w:outlineLvl w:val="9"/>
        <w:rPr>
          <w:rFonts w:hint="default" w:ascii="Times New Roman" w:hAnsi="Times New Roman" w:eastAsia="宋体" w:cs="Times New Roman"/>
          <w:sz w:val="43"/>
          <w:szCs w:val="43"/>
        </w:rPr>
      </w:pPr>
      <w:r>
        <w:rPr>
          <w:rFonts w:hint="default" w:ascii="Times New Roman" w:hAnsi="Times New Roman" w:eastAsia="宋体" w:cs="Times New Roman"/>
          <w:b/>
          <w:bCs/>
          <w:spacing w:val="-1"/>
          <w:sz w:val="43"/>
          <w:szCs w:val="43"/>
        </w:rPr>
        <w:t>前言</w:t>
      </w:r>
    </w:p>
    <w:p w14:paraId="7FDD501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default" w:ascii="Times New Roman" w:hAnsi="Times New Roman" w:eastAsia="宋体" w:cs="Times New Roman"/>
        </w:rPr>
      </w:pPr>
    </w:p>
    <w:p w14:paraId="1F1DEB5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36" w:firstLineChars="200"/>
        <w:textAlignment w:val="baseline"/>
        <w:rPr>
          <w:rFonts w:hint="default" w:ascii="Times New Roman" w:hAnsi="Times New Roman" w:eastAsia="宋体" w:cs="Times New Roman"/>
          <w:spacing w:val="5"/>
          <w:sz w:val="31"/>
          <w:szCs w:val="31"/>
          <w:lang w:eastAsia="zh-CN"/>
        </w:rPr>
      </w:pPr>
      <w:r>
        <w:rPr>
          <w:rFonts w:hint="default" w:ascii="Times New Roman" w:hAnsi="Times New Roman" w:eastAsia="宋体" w:cs="Times New Roman"/>
          <w:spacing w:val="4"/>
          <w:sz w:val="31"/>
          <w:szCs w:val="31"/>
        </w:rPr>
        <w:t>为进一步落实精准治污、科学治污、依法治污要求，规范全</w:t>
      </w:r>
      <w:r>
        <w:rPr>
          <w:rFonts w:hint="default" w:ascii="Times New Roman" w:hAnsi="Times New Roman" w:eastAsia="宋体" w:cs="Times New Roman"/>
          <w:spacing w:val="5"/>
          <w:sz w:val="31"/>
          <w:szCs w:val="31"/>
        </w:rPr>
        <w:t>省重点行业绩效分级工作，完善重污染天气应急减排清单，积极有效应对重污染天气，按照生态环境部《重污染天气重点行业应</w:t>
      </w:r>
      <w:r>
        <w:rPr>
          <w:rFonts w:hint="default" w:ascii="Times New Roman" w:hAnsi="Times New Roman" w:eastAsia="宋体" w:cs="Times New Roman"/>
          <w:spacing w:val="-17"/>
          <w:sz w:val="31"/>
          <w:szCs w:val="31"/>
        </w:rPr>
        <w:t>急减排措施制定技术指南</w:t>
      </w:r>
      <w:r>
        <w:rPr>
          <w:rFonts w:hint="default" w:ascii="Times New Roman" w:hAnsi="Times New Roman" w:eastAsia="宋体" w:cs="Times New Roman"/>
          <w:spacing w:val="-17"/>
          <w:sz w:val="31"/>
          <w:szCs w:val="31"/>
          <w:lang w:eastAsia="zh-CN"/>
        </w:rPr>
        <w:t>（</w:t>
      </w:r>
      <w:r>
        <w:rPr>
          <w:rFonts w:hint="default" w:ascii="Times New Roman" w:hAnsi="Times New Roman" w:eastAsia="宋体" w:cs="Times New Roman"/>
          <w:spacing w:val="-17"/>
          <w:sz w:val="31"/>
          <w:szCs w:val="31"/>
        </w:rPr>
        <w:t>2020年修订版</w:t>
      </w:r>
      <w:r>
        <w:rPr>
          <w:rFonts w:hint="default" w:ascii="Times New Roman" w:hAnsi="Times New Roman" w:eastAsia="宋体" w:cs="Times New Roman"/>
          <w:spacing w:val="-18"/>
          <w:sz w:val="31"/>
          <w:szCs w:val="31"/>
        </w:rPr>
        <w:t>）》（环办大气函</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18"/>
          <w:sz w:val="31"/>
          <w:szCs w:val="31"/>
        </w:rPr>
        <w:t>2020</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7"/>
          <w:sz w:val="31"/>
          <w:szCs w:val="31"/>
        </w:rPr>
        <w:t>340号</w:t>
      </w:r>
      <w:r>
        <w:rPr>
          <w:rFonts w:hint="default" w:ascii="Times New Roman" w:hAnsi="Times New Roman" w:eastAsia="宋体" w:cs="Times New Roman"/>
          <w:spacing w:val="-30"/>
          <w:sz w:val="31"/>
          <w:szCs w:val="31"/>
          <w:lang w:eastAsia="zh-CN"/>
        </w:rPr>
        <w:t>）</w:t>
      </w:r>
      <w:r>
        <w:rPr>
          <w:rFonts w:hint="default" w:ascii="Times New Roman" w:hAnsi="Times New Roman" w:eastAsia="宋体" w:cs="Times New Roman"/>
          <w:spacing w:val="-7"/>
          <w:sz w:val="31"/>
          <w:szCs w:val="31"/>
        </w:rPr>
        <w:t>、《关于印发&lt;重污染天气重点行业绩效分级及减排措施&gt;</w:t>
      </w:r>
      <w:r>
        <w:rPr>
          <w:rFonts w:hint="default" w:ascii="Times New Roman" w:hAnsi="Times New Roman" w:eastAsia="宋体" w:cs="Times New Roman"/>
          <w:spacing w:val="-3"/>
          <w:sz w:val="31"/>
          <w:szCs w:val="31"/>
        </w:rPr>
        <w:t>补充说明的通知》（环办便函</w:t>
      </w:r>
      <w:r>
        <w:rPr>
          <w:rFonts w:hint="eastAsia" w:ascii="仿宋_GB2312" w:hAnsi="仿宋_GB2312" w:eastAsia="仿宋_GB2312" w:cs="仿宋_GB2312"/>
          <w:spacing w:val="-3"/>
          <w:sz w:val="31"/>
          <w:szCs w:val="31"/>
        </w:rPr>
        <w:t>〔</w:t>
      </w:r>
      <w:r>
        <w:rPr>
          <w:rFonts w:hint="default" w:ascii="Times New Roman" w:hAnsi="Times New Roman" w:eastAsia="宋体" w:cs="Times New Roman"/>
          <w:spacing w:val="-3"/>
          <w:sz w:val="31"/>
          <w:szCs w:val="31"/>
        </w:rPr>
        <w:t>2021</w:t>
      </w:r>
      <w:r>
        <w:rPr>
          <w:rFonts w:hint="eastAsia" w:ascii="仿宋_GB2312" w:hAnsi="仿宋_GB2312" w:eastAsia="仿宋_GB2312" w:cs="仿宋_GB2312"/>
          <w:spacing w:val="-3"/>
          <w:sz w:val="31"/>
          <w:szCs w:val="31"/>
        </w:rPr>
        <w:t>〕</w:t>
      </w:r>
      <w:r>
        <w:rPr>
          <w:rFonts w:hint="default" w:ascii="Times New Roman" w:hAnsi="Times New Roman" w:eastAsia="宋体" w:cs="Times New Roman"/>
          <w:spacing w:val="-4"/>
          <w:sz w:val="31"/>
          <w:szCs w:val="31"/>
        </w:rPr>
        <w:t>341号</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lang w:val="en-US" w:eastAsia="zh-CN"/>
        </w:rPr>
        <w:t>关于印发</w:t>
      </w:r>
      <w:r>
        <w:rPr>
          <w:rFonts w:hint="default" w:ascii="Times New Roman" w:hAnsi="Times New Roman" w:eastAsia="宋体" w:cs="Times New Roman"/>
          <w:spacing w:val="-7"/>
          <w:sz w:val="31"/>
          <w:szCs w:val="31"/>
        </w:rPr>
        <w:t>&lt;</w:t>
      </w:r>
      <w:r>
        <w:rPr>
          <w:rFonts w:hint="default" w:ascii="Times New Roman" w:hAnsi="Times New Roman" w:eastAsia="宋体" w:cs="Times New Roman"/>
          <w:spacing w:val="-4"/>
          <w:sz w:val="31"/>
          <w:szCs w:val="31"/>
          <w:lang w:val="en-US" w:eastAsia="zh-CN"/>
        </w:rPr>
        <w:t>重污染天气应急减排清单编制技术指南</w:t>
      </w:r>
      <w:r>
        <w:rPr>
          <w:rFonts w:hint="default" w:ascii="Times New Roman" w:hAnsi="Times New Roman" w:eastAsia="宋体" w:cs="Times New Roman"/>
          <w:spacing w:val="-7"/>
          <w:sz w:val="31"/>
          <w:szCs w:val="31"/>
        </w:rPr>
        <w:t>&gt;</w:t>
      </w:r>
      <w:r>
        <w:rPr>
          <w:rFonts w:hint="default" w:ascii="Times New Roman" w:hAnsi="Times New Roman" w:eastAsia="宋体" w:cs="Times New Roman"/>
          <w:spacing w:val="-4"/>
          <w:sz w:val="31"/>
          <w:szCs w:val="31"/>
          <w:lang w:val="en-US" w:eastAsia="zh-CN"/>
        </w:rPr>
        <w:t>的通知》</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lang w:val="en-US" w:eastAsia="zh-CN"/>
        </w:rPr>
        <w:t>环办大气函</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18"/>
          <w:sz w:val="31"/>
          <w:szCs w:val="31"/>
        </w:rPr>
        <w:t>202</w:t>
      </w:r>
      <w:r>
        <w:rPr>
          <w:rFonts w:hint="default" w:ascii="Times New Roman" w:hAnsi="Times New Roman" w:eastAsia="宋体" w:cs="Times New Roman"/>
          <w:spacing w:val="-18"/>
          <w:sz w:val="31"/>
          <w:szCs w:val="31"/>
          <w:lang w:val="en-US" w:eastAsia="zh-CN"/>
        </w:rPr>
        <w:t>5</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7"/>
          <w:sz w:val="31"/>
          <w:szCs w:val="31"/>
        </w:rPr>
        <w:t>3</w:t>
      </w:r>
      <w:r>
        <w:rPr>
          <w:rFonts w:hint="default" w:ascii="Times New Roman" w:hAnsi="Times New Roman" w:eastAsia="宋体" w:cs="Times New Roman"/>
          <w:spacing w:val="-7"/>
          <w:sz w:val="31"/>
          <w:szCs w:val="31"/>
          <w:lang w:val="en-US" w:eastAsia="zh-CN"/>
        </w:rPr>
        <w:t>14</w:t>
      </w:r>
      <w:r>
        <w:rPr>
          <w:rFonts w:hint="default" w:ascii="Times New Roman" w:hAnsi="Times New Roman" w:eastAsia="宋体" w:cs="Times New Roman"/>
          <w:spacing w:val="-7"/>
          <w:sz w:val="31"/>
          <w:szCs w:val="31"/>
        </w:rPr>
        <w:t>号</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rPr>
        <w:t>要求</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rPr>
        <w:t>在《</w:t>
      </w:r>
      <w:r>
        <w:rPr>
          <w:rFonts w:hint="default" w:ascii="Times New Roman" w:hAnsi="Times New Roman" w:eastAsia="宋体" w:cs="Times New Roman"/>
          <w:spacing w:val="-4"/>
          <w:sz w:val="31"/>
          <w:szCs w:val="31"/>
          <w:lang w:val="en-US" w:eastAsia="zh-CN"/>
        </w:rPr>
        <w:t>随州市2024年重污染天气主要行业应急减排措施建议</w:t>
      </w:r>
      <w:r>
        <w:rPr>
          <w:rFonts w:hint="default" w:ascii="Times New Roman" w:hAnsi="Times New Roman" w:eastAsia="宋体" w:cs="Times New Roman"/>
          <w:spacing w:val="-6"/>
          <w:sz w:val="31"/>
          <w:szCs w:val="31"/>
          <w:lang w:val="en-US" w:eastAsia="zh-CN"/>
        </w:rPr>
        <w:t>（试行）</w:t>
      </w:r>
      <w:r>
        <w:rPr>
          <w:rFonts w:hint="default" w:ascii="Times New Roman" w:hAnsi="Times New Roman" w:eastAsia="宋体" w:cs="Times New Roman"/>
          <w:spacing w:val="-2"/>
          <w:sz w:val="31"/>
          <w:szCs w:val="31"/>
        </w:rPr>
        <w:t>》的基础上</w:t>
      </w:r>
      <w:r>
        <w:rPr>
          <w:rFonts w:hint="default" w:ascii="Times New Roman" w:hAnsi="Times New Roman" w:eastAsia="宋体" w:cs="Times New Roman"/>
          <w:spacing w:val="-34"/>
          <w:sz w:val="31"/>
          <w:szCs w:val="31"/>
          <w:lang w:eastAsia="zh-CN"/>
        </w:rPr>
        <w:t>，</w:t>
      </w:r>
      <w:r>
        <w:rPr>
          <w:rFonts w:hint="default" w:ascii="Times New Roman" w:hAnsi="Times New Roman" w:eastAsia="宋体" w:cs="Times New Roman"/>
          <w:spacing w:val="-2"/>
          <w:sz w:val="31"/>
          <w:szCs w:val="31"/>
        </w:rPr>
        <w:t>结合我</w:t>
      </w:r>
      <w:r>
        <w:rPr>
          <w:rFonts w:hint="default" w:ascii="Times New Roman" w:hAnsi="Times New Roman" w:eastAsia="宋体" w:cs="Times New Roman"/>
          <w:spacing w:val="-2"/>
          <w:sz w:val="31"/>
          <w:szCs w:val="31"/>
          <w:lang w:val="en-US" w:eastAsia="zh-CN"/>
        </w:rPr>
        <w:t>市</w:t>
      </w:r>
      <w:r>
        <w:rPr>
          <w:rFonts w:hint="default" w:ascii="Times New Roman" w:hAnsi="Times New Roman" w:eastAsia="宋体" w:cs="Times New Roman"/>
          <w:spacing w:val="-2"/>
          <w:sz w:val="31"/>
          <w:szCs w:val="31"/>
        </w:rPr>
        <w:t>工业污染特征</w:t>
      </w:r>
      <w:r>
        <w:rPr>
          <w:rFonts w:hint="default" w:ascii="Times New Roman" w:hAnsi="Times New Roman" w:eastAsia="宋体" w:cs="Times New Roman"/>
          <w:spacing w:val="-55"/>
          <w:sz w:val="31"/>
          <w:szCs w:val="31"/>
          <w:lang w:eastAsia="zh-CN"/>
        </w:rPr>
        <w:t>、</w:t>
      </w:r>
      <w:r>
        <w:rPr>
          <w:rFonts w:hint="default" w:ascii="Times New Roman" w:hAnsi="Times New Roman" w:eastAsia="宋体" w:cs="Times New Roman"/>
          <w:spacing w:val="-2"/>
          <w:sz w:val="31"/>
          <w:szCs w:val="31"/>
        </w:rPr>
        <w:t>企业治理水</w:t>
      </w:r>
      <w:r>
        <w:rPr>
          <w:rFonts w:hint="default" w:ascii="Times New Roman" w:hAnsi="Times New Roman" w:eastAsia="宋体" w:cs="Times New Roman"/>
          <w:spacing w:val="-3"/>
          <w:sz w:val="31"/>
          <w:szCs w:val="31"/>
        </w:rPr>
        <w:t>平</w:t>
      </w:r>
      <w:r>
        <w:rPr>
          <w:rFonts w:hint="default" w:ascii="Times New Roman" w:hAnsi="Times New Roman" w:eastAsia="宋体" w:cs="Times New Roman"/>
          <w:spacing w:val="-54"/>
          <w:sz w:val="31"/>
          <w:szCs w:val="31"/>
          <w:lang w:eastAsia="zh-CN"/>
        </w:rPr>
        <w:t>、</w:t>
      </w:r>
      <w:r>
        <w:rPr>
          <w:rFonts w:hint="default" w:ascii="Times New Roman" w:hAnsi="Times New Roman" w:eastAsia="宋体" w:cs="Times New Roman"/>
          <w:spacing w:val="-3"/>
          <w:sz w:val="31"/>
          <w:szCs w:val="31"/>
        </w:rPr>
        <w:t>管</w:t>
      </w:r>
      <w:r>
        <w:rPr>
          <w:rFonts w:hint="default" w:ascii="Times New Roman" w:hAnsi="Times New Roman" w:eastAsia="宋体" w:cs="Times New Roman"/>
          <w:spacing w:val="5"/>
          <w:sz w:val="31"/>
          <w:szCs w:val="31"/>
        </w:rPr>
        <w:t>理能力等，</w:t>
      </w:r>
      <w:r>
        <w:rPr>
          <w:rFonts w:hint="default" w:ascii="Times New Roman" w:hAnsi="Times New Roman" w:eastAsia="宋体" w:cs="Times New Roman"/>
          <w:spacing w:val="5"/>
          <w:sz w:val="31"/>
          <w:szCs w:val="31"/>
          <w:lang w:val="en-US" w:eastAsia="zh-CN"/>
        </w:rPr>
        <w:t>市重污染天气应急指挥部办公室组织专家团队，结合我市行业分布情况</w:t>
      </w:r>
      <w:r>
        <w:rPr>
          <w:rFonts w:hint="default" w:ascii="Times New Roman" w:hAnsi="Times New Roman" w:eastAsia="宋体" w:cs="Times New Roman"/>
          <w:spacing w:val="5"/>
          <w:sz w:val="31"/>
          <w:szCs w:val="31"/>
        </w:rPr>
        <w:t>再次修订</w:t>
      </w:r>
      <w:r>
        <w:rPr>
          <w:rFonts w:hint="default" w:ascii="Times New Roman" w:hAnsi="Times New Roman" w:eastAsia="宋体" w:cs="Times New Roman"/>
          <w:spacing w:val="5"/>
          <w:sz w:val="31"/>
          <w:szCs w:val="31"/>
          <w:lang w:eastAsia="zh-CN"/>
        </w:rPr>
        <w:t>。</w:t>
      </w:r>
    </w:p>
    <w:p w14:paraId="327D533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default" w:ascii="Times New Roman" w:hAnsi="Times New Roman" w:eastAsia="宋体" w:cs="Times New Roman"/>
          <w:spacing w:val="-6"/>
          <w:sz w:val="31"/>
          <w:szCs w:val="31"/>
          <w:lang w:val="en-US" w:eastAsia="zh-CN"/>
        </w:rPr>
      </w:pPr>
      <w:r>
        <w:rPr>
          <w:rFonts w:hint="default" w:ascii="Times New Roman" w:hAnsi="Times New Roman" w:eastAsia="宋体" w:cs="Times New Roman"/>
          <w:spacing w:val="5"/>
          <w:sz w:val="31"/>
          <w:szCs w:val="31"/>
        </w:rPr>
        <w:t>本次修订</w:t>
      </w:r>
      <w:r>
        <w:rPr>
          <w:rFonts w:hint="default" w:ascii="Times New Roman" w:hAnsi="Times New Roman" w:eastAsia="宋体" w:cs="Times New Roman"/>
          <w:spacing w:val="1"/>
          <w:sz w:val="31"/>
          <w:szCs w:val="31"/>
        </w:rPr>
        <w:t>以《国民经济行业分类》</w:t>
      </w:r>
      <w:r>
        <w:rPr>
          <w:rFonts w:hint="default" w:ascii="Times New Roman" w:hAnsi="Times New Roman" w:eastAsia="宋体" w:cs="Times New Roman"/>
          <w:spacing w:val="1"/>
          <w:sz w:val="31"/>
          <w:szCs w:val="31"/>
          <w:lang w:eastAsia="zh-CN"/>
        </w:rPr>
        <w:t>（</w:t>
      </w:r>
      <w:r>
        <w:rPr>
          <w:rFonts w:hint="default" w:ascii="Times New Roman" w:hAnsi="Times New Roman" w:eastAsia="宋体" w:cs="Times New Roman"/>
          <w:sz w:val="31"/>
          <w:szCs w:val="31"/>
        </w:rPr>
        <w:t>GB</w:t>
      </w:r>
      <w:r>
        <w:rPr>
          <w:rFonts w:hint="default" w:ascii="Times New Roman" w:hAnsi="Times New Roman" w:eastAsia="宋体" w:cs="Times New Roman"/>
          <w:spacing w:val="1"/>
          <w:sz w:val="31"/>
          <w:szCs w:val="31"/>
        </w:rPr>
        <w:t>/T4754-201</w:t>
      </w:r>
      <w:r>
        <w:rPr>
          <w:rFonts w:hint="default" w:ascii="Times New Roman" w:hAnsi="Times New Roman" w:eastAsia="宋体" w:cs="Times New Roman"/>
          <w:sz w:val="31"/>
          <w:szCs w:val="31"/>
        </w:rPr>
        <w:t>7</w:t>
      </w:r>
      <w:r>
        <w:rPr>
          <w:rFonts w:hint="default" w:ascii="Times New Roman" w:hAnsi="Times New Roman" w:eastAsia="宋体" w:cs="Times New Roman"/>
          <w:sz w:val="31"/>
          <w:szCs w:val="31"/>
          <w:lang w:eastAsia="zh-CN"/>
        </w:rPr>
        <w:t>）</w:t>
      </w:r>
      <w:r>
        <w:rPr>
          <w:rFonts w:hint="default" w:ascii="Times New Roman" w:hAnsi="Times New Roman" w:eastAsia="宋体" w:cs="Times New Roman"/>
          <w:sz w:val="31"/>
          <w:szCs w:val="31"/>
        </w:rPr>
        <w:t>为行业划分依据</w:t>
      </w:r>
      <w:r>
        <w:rPr>
          <w:rFonts w:hint="default" w:ascii="Times New Roman" w:hAnsi="Times New Roman" w:eastAsia="宋体" w:cs="Times New Roman"/>
          <w:sz w:val="31"/>
          <w:szCs w:val="31"/>
          <w:lang w:eastAsia="zh-CN"/>
        </w:rPr>
        <w:t>，</w:t>
      </w:r>
      <w:r>
        <w:rPr>
          <w:rFonts w:hint="default" w:ascii="Times New Roman" w:hAnsi="Times New Roman" w:eastAsia="宋体" w:cs="Times New Roman"/>
          <w:spacing w:val="9"/>
          <w:sz w:val="31"/>
          <w:szCs w:val="31"/>
        </w:rPr>
        <w:t>进一步扩展了矿石采选与加工</w:t>
      </w:r>
      <w:r>
        <w:rPr>
          <w:rFonts w:hint="default" w:ascii="Times New Roman" w:hAnsi="Times New Roman" w:eastAsia="宋体" w:cs="Times New Roman"/>
          <w:spacing w:val="9"/>
          <w:sz w:val="31"/>
          <w:szCs w:val="31"/>
          <w:lang w:eastAsia="zh-CN"/>
        </w:rPr>
        <w:t>、纺织印染与服饰制造、</w:t>
      </w:r>
      <w:r>
        <w:rPr>
          <w:rFonts w:hint="default" w:ascii="Times New Roman" w:hAnsi="Times New Roman" w:eastAsia="宋体" w:cs="Times New Roman"/>
          <w:spacing w:val="9"/>
          <w:sz w:val="31"/>
          <w:szCs w:val="31"/>
          <w:lang w:val="en-US" w:eastAsia="zh-CN"/>
        </w:rPr>
        <w:t>有机化工、汽修、沥青搅拌站</w:t>
      </w:r>
      <w:r>
        <w:rPr>
          <w:rFonts w:hint="default" w:ascii="Times New Roman" w:hAnsi="Times New Roman" w:eastAsia="宋体" w:cs="Times New Roman"/>
          <w:spacing w:val="9"/>
          <w:sz w:val="31"/>
          <w:szCs w:val="31"/>
        </w:rPr>
        <w:t>等部分行业绩效分级适用范围；</w:t>
      </w:r>
      <w:r>
        <w:rPr>
          <w:rFonts w:hint="default" w:ascii="Times New Roman" w:hAnsi="Times New Roman" w:eastAsia="宋体" w:cs="Times New Roman"/>
          <w:spacing w:val="9"/>
          <w:sz w:val="31"/>
          <w:szCs w:val="31"/>
          <w:lang w:val="en-US" w:eastAsia="zh-CN"/>
        </w:rPr>
        <w:t>增加了通用涉PM、VOCs企业和涉</w:t>
      </w:r>
      <w:r>
        <w:rPr>
          <w:rFonts w:hint="default" w:ascii="Times New Roman" w:hAnsi="Times New Roman" w:eastAsia="宋体" w:cs="Times New Roman"/>
          <w:spacing w:val="9"/>
          <w:sz w:val="31"/>
          <w:szCs w:val="31"/>
        </w:rPr>
        <w:t>锅炉/炉窑</w:t>
      </w:r>
      <w:r>
        <w:rPr>
          <w:rFonts w:hint="default" w:ascii="Times New Roman" w:hAnsi="Times New Roman" w:eastAsia="宋体" w:cs="Times New Roman"/>
          <w:spacing w:val="9"/>
          <w:sz w:val="31"/>
          <w:szCs w:val="31"/>
          <w:lang w:val="en-US" w:eastAsia="zh-CN"/>
        </w:rPr>
        <w:t>企业应急减排措施制定要求</w:t>
      </w:r>
      <w:r>
        <w:rPr>
          <w:rFonts w:hint="eastAsia" w:ascii="Times New Roman" w:hAnsi="Times New Roman" w:eastAsia="宋体" w:cs="Times New Roman"/>
          <w:spacing w:val="9"/>
          <w:sz w:val="31"/>
          <w:szCs w:val="31"/>
          <w:lang w:val="en-US" w:eastAsia="zh-CN"/>
        </w:rPr>
        <w:t>；</w:t>
      </w:r>
      <w:r>
        <w:rPr>
          <w:rFonts w:hint="default" w:ascii="Times New Roman" w:hAnsi="Times New Roman" w:eastAsia="宋体" w:cs="Times New Roman"/>
          <w:spacing w:val="9"/>
          <w:sz w:val="31"/>
          <w:szCs w:val="31"/>
          <w:lang w:val="en-US" w:eastAsia="zh-CN"/>
        </w:rPr>
        <w:t>设备制造及机加工、</w:t>
      </w:r>
      <w:r>
        <w:rPr>
          <w:rFonts w:hint="eastAsia" w:ascii="Times New Roman" w:hAnsi="Times New Roman" w:eastAsia="宋体" w:cs="Times New Roman"/>
          <w:spacing w:val="9"/>
          <w:sz w:val="31"/>
          <w:szCs w:val="31"/>
          <w:lang w:val="en-US" w:eastAsia="zh-CN"/>
        </w:rPr>
        <w:t>电子、</w:t>
      </w:r>
      <w:r>
        <w:rPr>
          <w:rFonts w:hint="default" w:ascii="Times New Roman" w:hAnsi="Times New Roman" w:eastAsia="宋体" w:cs="Times New Roman"/>
          <w:spacing w:val="9"/>
          <w:sz w:val="31"/>
          <w:szCs w:val="31"/>
        </w:rPr>
        <w:t>食品制造、</w:t>
      </w:r>
      <w:r>
        <w:rPr>
          <w:rFonts w:hint="default" w:ascii="Times New Roman" w:hAnsi="Times New Roman" w:eastAsia="宋体" w:cs="Times New Roman"/>
          <w:spacing w:val="9"/>
          <w:sz w:val="31"/>
          <w:szCs w:val="31"/>
          <w:lang w:val="en-US" w:eastAsia="zh-CN"/>
        </w:rPr>
        <w:t>粮食加工及饲料加工、</w:t>
      </w:r>
      <w:r>
        <w:rPr>
          <w:rFonts w:hint="default" w:ascii="Times New Roman" w:hAnsi="Times New Roman" w:eastAsia="宋体" w:cs="Times New Roman"/>
          <w:spacing w:val="-6"/>
          <w:sz w:val="31"/>
          <w:szCs w:val="31"/>
          <w:lang w:val="en-US" w:eastAsia="zh-CN"/>
        </w:rPr>
        <w:t>木材加工及装修材料加工、石材石质材料及石质喷涂材料制造、中成药制造业等未纳入国家和省级重点行业以及随州市五个</w:t>
      </w:r>
      <w:r>
        <w:rPr>
          <w:rFonts w:hint="eastAsia" w:ascii="Times New Roman" w:hAnsi="Times New Roman" w:eastAsia="宋体" w:cs="Times New Roman"/>
          <w:spacing w:val="-6"/>
          <w:sz w:val="31"/>
          <w:szCs w:val="31"/>
          <w:lang w:val="en-US" w:eastAsia="zh-CN"/>
        </w:rPr>
        <w:t>重点</w:t>
      </w:r>
      <w:r>
        <w:rPr>
          <w:rFonts w:hint="default" w:ascii="Times New Roman" w:hAnsi="Times New Roman" w:eastAsia="宋体" w:cs="Times New Roman"/>
          <w:spacing w:val="-6"/>
          <w:sz w:val="31"/>
          <w:szCs w:val="31"/>
          <w:lang w:val="en-US" w:eastAsia="zh-CN"/>
        </w:rPr>
        <w:t>行业的涉气企业，</w:t>
      </w:r>
      <w:r>
        <w:rPr>
          <w:rFonts w:hint="eastAsia" w:ascii="Times New Roman" w:hAnsi="Times New Roman" w:eastAsia="宋体" w:cs="Times New Roman"/>
          <w:spacing w:val="-6"/>
          <w:sz w:val="31"/>
          <w:szCs w:val="31"/>
          <w:lang w:val="en-US" w:eastAsia="zh-CN"/>
        </w:rPr>
        <w:t>若</w:t>
      </w:r>
      <w:r>
        <w:rPr>
          <w:rFonts w:hint="default" w:ascii="Times New Roman" w:hAnsi="Times New Roman" w:eastAsia="宋体" w:cs="Times New Roman"/>
          <w:spacing w:val="-6"/>
          <w:sz w:val="31"/>
          <w:szCs w:val="31"/>
          <w:lang w:val="en-US" w:eastAsia="zh-CN"/>
        </w:rPr>
        <w:t>企业具有涉锅炉/炉窑等设施，</w:t>
      </w:r>
      <w:r>
        <w:rPr>
          <w:rFonts w:hint="eastAsia" w:ascii="Times New Roman" w:hAnsi="Times New Roman" w:eastAsia="宋体" w:cs="Times New Roman"/>
          <w:spacing w:val="-6"/>
          <w:sz w:val="31"/>
          <w:szCs w:val="31"/>
          <w:lang w:val="en-US" w:eastAsia="zh-CN"/>
        </w:rPr>
        <w:t>则按照</w:t>
      </w:r>
      <w:r>
        <w:rPr>
          <w:rFonts w:hint="default" w:ascii="Times New Roman" w:hAnsi="Times New Roman" w:eastAsia="宋体" w:cs="Times New Roman"/>
          <w:spacing w:val="-6"/>
          <w:sz w:val="31"/>
          <w:szCs w:val="31"/>
          <w:lang w:val="en-US" w:eastAsia="zh-CN"/>
        </w:rPr>
        <w:t>涉锅炉/炉窑企业应急减排措施制定要求</w:t>
      </w:r>
      <w:r>
        <w:rPr>
          <w:rFonts w:hint="eastAsia" w:ascii="Times New Roman" w:hAnsi="Times New Roman" w:eastAsia="宋体" w:cs="Times New Roman"/>
          <w:spacing w:val="-6"/>
          <w:sz w:val="31"/>
          <w:szCs w:val="31"/>
          <w:lang w:val="en-US" w:eastAsia="zh-CN"/>
        </w:rPr>
        <w:t>；</w:t>
      </w:r>
      <w:r>
        <w:rPr>
          <w:rFonts w:hint="default" w:ascii="Times New Roman" w:hAnsi="Times New Roman" w:eastAsia="宋体" w:cs="Times New Roman"/>
          <w:spacing w:val="-6"/>
          <w:sz w:val="31"/>
          <w:szCs w:val="31"/>
          <w:lang w:val="en-US" w:eastAsia="zh-CN"/>
        </w:rPr>
        <w:t>涉PM和VOCs（未涉锅炉/炉窑）企业按通用涉PM、VOCs企业应急减排措施制定要求</w:t>
      </w:r>
      <w:r>
        <w:rPr>
          <w:rFonts w:hint="eastAsia" w:ascii="Times New Roman" w:hAnsi="Times New Roman" w:eastAsia="宋体" w:cs="Times New Roman"/>
          <w:spacing w:val="-6"/>
          <w:sz w:val="31"/>
          <w:szCs w:val="31"/>
          <w:lang w:val="en-US" w:eastAsia="zh-CN"/>
        </w:rPr>
        <w:t>；</w:t>
      </w:r>
      <w:r>
        <w:rPr>
          <w:rFonts w:hint="default" w:ascii="Times New Roman" w:hAnsi="Times New Roman" w:eastAsia="宋体" w:cs="Times New Roman"/>
          <w:spacing w:val="-6"/>
          <w:sz w:val="31"/>
          <w:szCs w:val="31"/>
          <w:lang w:val="en-US" w:eastAsia="zh-CN"/>
        </w:rPr>
        <w:t>水泥粉磨站、复混肥生产及加工、泡沫塑料制造执行国家和省级相关指南。</w:t>
      </w:r>
    </w:p>
    <w:p w14:paraId="765827C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96" w:firstLineChars="200"/>
        <w:textAlignment w:val="baseline"/>
        <w:rPr>
          <w:rFonts w:hint="default" w:ascii="Times New Roman" w:hAnsi="Times New Roman" w:eastAsia="宋体" w:cs="Times New Roman"/>
          <w:spacing w:val="-6"/>
          <w:sz w:val="31"/>
          <w:szCs w:val="31"/>
          <w:lang w:val="en-US" w:eastAsia="zh-CN"/>
        </w:rPr>
      </w:pPr>
      <w:r>
        <w:rPr>
          <w:rFonts w:hint="default" w:ascii="Times New Roman" w:hAnsi="Times New Roman" w:eastAsia="宋体" w:cs="Times New Roman"/>
          <w:spacing w:val="-6"/>
          <w:sz w:val="31"/>
          <w:szCs w:val="31"/>
          <w:lang w:val="en-US" w:eastAsia="zh-CN"/>
        </w:rPr>
        <w:t>本技术指南以《国民经济行业分类》（GB/T4754-2017）为行业划分主要依据，并根据细分行业的污染物排放特征进行简化，进一步明确了重点行业适用范围，优化了绩效分级指标，对企业生产工艺水平、污染治理技术、无组织管控、排放限值、环境管理水平、监测监控水平、运输方式等</w:t>
      </w:r>
      <w:r>
        <w:rPr>
          <w:rFonts w:hint="eastAsia" w:ascii="Times New Roman" w:hAnsi="Times New Roman" w:eastAsia="宋体" w:cs="Times New Roman"/>
          <w:spacing w:val="-6"/>
          <w:sz w:val="31"/>
          <w:szCs w:val="31"/>
          <w:lang w:val="en-US" w:eastAsia="zh-CN"/>
        </w:rPr>
        <w:t>进行</w:t>
      </w:r>
      <w:r>
        <w:rPr>
          <w:rFonts w:hint="default" w:ascii="Times New Roman" w:hAnsi="Times New Roman" w:eastAsia="宋体" w:cs="Times New Roman"/>
          <w:spacing w:val="-6"/>
          <w:sz w:val="31"/>
          <w:szCs w:val="31"/>
          <w:lang w:val="en-US" w:eastAsia="zh-CN"/>
        </w:rPr>
        <w:t>细化，为有效提升我市重点行业重污染天气应急减排措施实效、提高企业全过程大气污染防治水平提出了明确的提升改造目标要求。</w:t>
      </w:r>
    </w:p>
    <w:p w14:paraId="4543D051">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96" w:firstLineChars="200"/>
        <w:textAlignment w:val="baseline"/>
        <w:rPr>
          <w:rFonts w:hint="default" w:ascii="Times New Roman" w:hAnsi="Times New Roman" w:eastAsia="宋体" w:cs="Times New Roman"/>
          <w:spacing w:val="-6"/>
          <w:sz w:val="31"/>
          <w:szCs w:val="31"/>
          <w:lang w:val="en-US" w:eastAsia="zh-CN"/>
        </w:rPr>
        <w:sectPr>
          <w:footerReference r:id="rId7" w:type="default"/>
          <w:pgSz w:w="11906" w:h="16839"/>
          <w:pgMar w:top="1440" w:right="1080" w:bottom="1440" w:left="1080" w:header="0" w:footer="1422" w:gutter="0"/>
          <w:pgBorders>
            <w:top w:val="none" w:sz="0" w:space="0"/>
            <w:left w:val="none" w:sz="0" w:space="0"/>
            <w:bottom w:val="none" w:sz="0" w:space="0"/>
            <w:right w:val="none" w:sz="0" w:space="0"/>
          </w:pgBorders>
          <w:pgNumType w:fmt="upperRoman"/>
          <w:cols w:space="720" w:num="1"/>
        </w:sectPr>
      </w:pPr>
      <w:r>
        <w:rPr>
          <w:rFonts w:hint="default" w:ascii="Times New Roman" w:hAnsi="Times New Roman" w:eastAsia="宋体" w:cs="Times New Roman"/>
          <w:spacing w:val="-6"/>
          <w:sz w:val="31"/>
          <w:szCs w:val="31"/>
        </w:rPr>
        <w:t>本</w:t>
      </w:r>
      <w:r>
        <w:rPr>
          <w:rFonts w:hint="default" w:ascii="Times New Roman" w:hAnsi="Times New Roman" w:eastAsia="宋体" w:cs="Times New Roman"/>
          <w:spacing w:val="-6"/>
          <w:sz w:val="31"/>
          <w:szCs w:val="31"/>
          <w:lang w:val="en-US" w:eastAsia="zh-CN"/>
        </w:rPr>
        <w:t>建议</w:t>
      </w:r>
      <w:r>
        <w:rPr>
          <w:rFonts w:hint="default" w:ascii="Times New Roman" w:hAnsi="Times New Roman" w:eastAsia="宋体" w:cs="Times New Roman"/>
          <w:spacing w:val="-6"/>
          <w:sz w:val="31"/>
          <w:szCs w:val="31"/>
        </w:rPr>
        <w:t>自发布之日起实施</w:t>
      </w:r>
      <w:r>
        <w:rPr>
          <w:rFonts w:hint="default" w:ascii="Times New Roman" w:hAnsi="Times New Roman" w:eastAsia="宋体" w:cs="Times New Roman"/>
          <w:spacing w:val="-6"/>
          <w:sz w:val="31"/>
          <w:szCs w:val="31"/>
          <w:lang w:eastAsia="zh-CN"/>
        </w:rPr>
        <w:t>，</w:t>
      </w:r>
      <w:r>
        <w:rPr>
          <w:rFonts w:hint="default" w:ascii="Times New Roman" w:hAnsi="Times New Roman" w:eastAsia="宋体" w:cs="Times New Roman"/>
          <w:spacing w:val="-6"/>
          <w:sz w:val="31"/>
          <w:szCs w:val="31"/>
        </w:rPr>
        <w:t>《</w:t>
      </w:r>
      <w:r>
        <w:rPr>
          <w:rFonts w:hint="default" w:ascii="Times New Roman" w:hAnsi="Times New Roman" w:eastAsia="宋体" w:cs="Times New Roman"/>
          <w:spacing w:val="-6"/>
          <w:sz w:val="31"/>
          <w:szCs w:val="31"/>
          <w:lang w:val="en-US" w:eastAsia="zh-CN"/>
        </w:rPr>
        <w:t>随州市2024年重污染天气主要行业应急减排措施建议（试行）</w:t>
      </w:r>
      <w:r>
        <w:rPr>
          <w:rFonts w:hint="default" w:ascii="Times New Roman" w:hAnsi="Times New Roman" w:eastAsia="宋体" w:cs="Times New Roman"/>
          <w:spacing w:val="-6"/>
          <w:sz w:val="31"/>
          <w:szCs w:val="31"/>
        </w:rPr>
        <w:t>》废止。</w:t>
      </w:r>
      <w:r>
        <w:rPr>
          <w:rFonts w:hint="default" w:ascii="Times New Roman" w:hAnsi="Times New Roman" w:eastAsia="宋体" w:cs="Times New Roman"/>
          <w:spacing w:val="-6"/>
          <w:sz w:val="31"/>
          <w:szCs w:val="31"/>
          <w:lang w:val="en-US" w:eastAsia="zh-CN"/>
        </w:rPr>
        <w:t>本建议与国家、省级相关规定不一致的，以国家、省级规定为准。</w:t>
      </w:r>
    </w:p>
    <w:p w14:paraId="752E7D60">
      <w:pPr>
        <w:pStyle w:val="2"/>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0" w:firstLineChars="0"/>
        <w:textAlignment w:val="baseline"/>
        <w:rPr>
          <w:rFonts w:hint="default" w:ascii="Times New Roman" w:hAnsi="Times New Roman" w:cs="Times New Roman"/>
          <w:sz w:val="32"/>
          <w:szCs w:val="32"/>
        </w:rPr>
      </w:pPr>
      <w:bookmarkStart w:id="0" w:name="bookmark2"/>
      <w:bookmarkEnd w:id="0"/>
      <w:bookmarkStart w:id="1" w:name="_Toc9932"/>
      <w:bookmarkStart w:id="2" w:name="_Toc15781"/>
      <w:r>
        <w:rPr>
          <w:rFonts w:hint="default" w:ascii="Times New Roman" w:hAnsi="Times New Roman" w:cs="Times New Roman"/>
          <w:sz w:val="32"/>
          <w:szCs w:val="32"/>
        </w:rPr>
        <w:t>一、矿石采选与加工</w:t>
      </w:r>
      <w:bookmarkEnd w:id="1"/>
      <w:bookmarkEnd w:id="2"/>
    </w:p>
    <w:p w14:paraId="3C4C5465">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sz w:val="30"/>
          <w:szCs w:val="30"/>
        </w:rPr>
      </w:pPr>
      <w:bookmarkStart w:id="3" w:name="_Toc22132"/>
      <w:bookmarkStart w:id="4" w:name="_Toc28033"/>
      <w:r>
        <w:rPr>
          <w:rFonts w:hint="default" w:ascii="Times New Roman" w:hAnsi="Times New Roman" w:eastAsia="楷体" w:cs="Times New Roman"/>
          <w:sz w:val="30"/>
          <w:szCs w:val="30"/>
        </w:rPr>
        <w:t>（一）适用范围</w:t>
      </w:r>
      <w:bookmarkEnd w:id="3"/>
      <w:bookmarkEnd w:id="4"/>
    </w:p>
    <w:p w14:paraId="1D3B0AD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68" w:firstLineChars="200"/>
        <w:jc w:val="both"/>
        <w:textAlignment w:val="baseline"/>
        <w:rPr>
          <w:rFonts w:hint="default" w:ascii="Times New Roman" w:hAnsi="Times New Roman" w:eastAsia="宋体" w:cs="Times New Roman"/>
          <w:sz w:val="28"/>
          <w:szCs w:val="28"/>
        </w:rPr>
      </w:pPr>
      <w:r>
        <w:rPr>
          <w:rFonts w:hint="default" w:ascii="Times New Roman" w:hAnsi="Times New Roman" w:eastAsia="宋体" w:cs="Times New Roman"/>
          <w:spacing w:val="27"/>
          <w:sz w:val="28"/>
          <w:szCs w:val="28"/>
        </w:rPr>
        <w:t>适用于全</w:t>
      </w:r>
      <w:r>
        <w:rPr>
          <w:rFonts w:hint="default" w:ascii="Times New Roman" w:hAnsi="Times New Roman" w:eastAsia="宋体" w:cs="Times New Roman"/>
          <w:spacing w:val="27"/>
          <w:sz w:val="28"/>
          <w:szCs w:val="28"/>
          <w:lang w:val="en-US" w:eastAsia="zh-CN"/>
        </w:rPr>
        <w:t>市</w:t>
      </w:r>
      <w:r>
        <w:rPr>
          <w:rFonts w:hint="default" w:ascii="Times New Roman" w:hAnsi="Times New Roman" w:eastAsia="宋体" w:cs="Times New Roman"/>
          <w:spacing w:val="27"/>
          <w:sz w:val="28"/>
          <w:szCs w:val="28"/>
        </w:rPr>
        <w:t>符合产业政策要求的《国民经济行业分类》</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z w:val="28"/>
          <w:szCs w:val="28"/>
        </w:rPr>
        <w:t>GB</w:t>
      </w:r>
      <w:r>
        <w:rPr>
          <w:rFonts w:hint="default" w:ascii="Times New Roman" w:hAnsi="Times New Roman" w:eastAsia="宋体" w:cs="Times New Roman"/>
          <w:spacing w:val="1"/>
          <w:sz w:val="28"/>
          <w:szCs w:val="28"/>
        </w:rPr>
        <w:t>/T4754-2017</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pacing w:val="1"/>
          <w:sz w:val="28"/>
          <w:szCs w:val="28"/>
        </w:rPr>
        <w:t>中B</w:t>
      </w:r>
      <w:r>
        <w:rPr>
          <w:rFonts w:hint="default" w:ascii="Times New Roman" w:hAnsi="Times New Roman" w:eastAsia="宋体" w:cs="Times New Roman"/>
          <w:sz w:val="28"/>
          <w:szCs w:val="28"/>
        </w:rPr>
        <w:t>08黑色金属矿</w:t>
      </w:r>
      <w:r>
        <w:rPr>
          <w:rFonts w:hint="default" w:ascii="Times New Roman" w:hAnsi="Times New Roman" w:eastAsia="宋体" w:cs="Times New Roman"/>
          <w:spacing w:val="6"/>
          <w:sz w:val="28"/>
          <w:szCs w:val="28"/>
        </w:rPr>
        <w:t>采选业、B09有色金属矿采选业</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6"/>
          <w:sz w:val="28"/>
          <w:szCs w:val="28"/>
        </w:rPr>
        <w:t>B10非金属矿采选业</w:t>
      </w:r>
      <w:r>
        <w:rPr>
          <w:rFonts w:hint="default" w:ascii="Times New Roman" w:hAnsi="Times New Roman" w:eastAsia="宋体" w:cs="Times New Roman"/>
          <w:spacing w:val="5"/>
          <w:sz w:val="28"/>
          <w:szCs w:val="28"/>
        </w:rPr>
        <w:t>、C3032</w:t>
      </w:r>
      <w:r>
        <w:rPr>
          <w:rFonts w:hint="default" w:ascii="Times New Roman" w:hAnsi="Times New Roman" w:eastAsia="宋体" w:cs="Times New Roman"/>
          <w:spacing w:val="6"/>
          <w:sz w:val="28"/>
          <w:szCs w:val="28"/>
        </w:rPr>
        <w:t>建筑用石加工企业以及以矿石、废料、建筑垃圾等为原料生产石</w:t>
      </w:r>
      <w:r>
        <w:rPr>
          <w:rFonts w:hint="default" w:ascii="Times New Roman" w:hAnsi="Times New Roman" w:eastAsia="宋体" w:cs="Times New Roman"/>
          <w:spacing w:val="1"/>
          <w:sz w:val="28"/>
          <w:szCs w:val="28"/>
        </w:rPr>
        <w:t>子、石材、砂子的企业；井下开采作业部分不纳入绩效分级管控</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pacing w:val="6"/>
          <w:sz w:val="28"/>
          <w:szCs w:val="28"/>
        </w:rPr>
        <w:t>其中，不含石制工艺品等产品生产中的粘结工序</w:t>
      </w:r>
      <w:r>
        <w:rPr>
          <w:rFonts w:hint="default" w:ascii="Times New Roman" w:hAnsi="Times New Roman" w:eastAsia="宋体" w:cs="Times New Roman"/>
          <w:spacing w:val="9"/>
          <w:sz w:val="28"/>
          <w:szCs w:val="28"/>
        </w:rPr>
        <w:t>。</w:t>
      </w:r>
    </w:p>
    <w:p w14:paraId="28A1DC1B">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5" w:name="_Toc21606"/>
      <w:bookmarkStart w:id="6" w:name="_Toc18199"/>
      <w:r>
        <w:rPr>
          <w:rFonts w:hint="default" w:ascii="Times New Roman" w:hAnsi="Times New Roman" w:eastAsia="楷体" w:cs="Times New Roman"/>
          <w:b/>
          <w:sz w:val="30"/>
          <w:szCs w:val="30"/>
        </w:rPr>
        <w:t>（二）生产工艺</w:t>
      </w:r>
      <w:bookmarkEnd w:id="5"/>
      <w:bookmarkEnd w:id="6"/>
    </w:p>
    <w:p w14:paraId="3043930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84" w:firstLineChars="200"/>
        <w:textAlignment w:val="baseline"/>
        <w:rPr>
          <w:rFonts w:hint="default" w:ascii="Times New Roman" w:hAnsi="Times New Roman" w:eastAsia="宋体" w:cs="Times New Roman"/>
          <w:sz w:val="28"/>
          <w:szCs w:val="28"/>
        </w:rPr>
      </w:pPr>
      <w:r>
        <w:rPr>
          <w:rFonts w:hint="default" w:ascii="Times New Roman" w:hAnsi="Times New Roman" w:eastAsia="宋体" w:cs="Times New Roman"/>
          <w:spacing w:val="6"/>
          <w:sz w:val="28"/>
          <w:szCs w:val="28"/>
        </w:rPr>
        <w:t>主要包括非金属矿</w:t>
      </w:r>
      <w:r>
        <w:rPr>
          <w:rFonts w:hint="default" w:ascii="Times New Roman" w:hAnsi="Times New Roman" w:eastAsia="宋体" w:cs="Times New Roman"/>
          <w:spacing w:val="5"/>
          <w:sz w:val="28"/>
          <w:szCs w:val="28"/>
        </w:rPr>
        <w:t>露天开采</w:t>
      </w:r>
      <w:r>
        <w:rPr>
          <w:rFonts w:hint="default" w:ascii="Times New Roman" w:hAnsi="Times New Roman" w:eastAsia="宋体" w:cs="Times New Roman"/>
          <w:spacing w:val="5"/>
          <w:sz w:val="28"/>
          <w:szCs w:val="28"/>
          <w:lang w:eastAsia="zh-CN"/>
        </w:rPr>
        <w:t>、</w:t>
      </w:r>
      <w:r>
        <w:rPr>
          <w:rFonts w:hint="default" w:ascii="Times New Roman" w:hAnsi="Times New Roman" w:eastAsia="宋体" w:cs="Times New Roman"/>
          <w:spacing w:val="1"/>
          <w:sz w:val="28"/>
          <w:szCs w:val="28"/>
        </w:rPr>
        <w:t>输送</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1"/>
          <w:sz w:val="28"/>
          <w:szCs w:val="28"/>
        </w:rPr>
        <w:t>破碎</w:t>
      </w:r>
      <w:r>
        <w:rPr>
          <w:rFonts w:hint="default" w:ascii="Times New Roman" w:hAnsi="Times New Roman" w:eastAsia="宋体" w:cs="Times New Roman"/>
          <w:spacing w:val="-55"/>
          <w:sz w:val="28"/>
          <w:szCs w:val="28"/>
          <w:lang w:eastAsia="zh-CN"/>
        </w:rPr>
        <w:t>、</w:t>
      </w:r>
      <w:r>
        <w:rPr>
          <w:rFonts w:hint="default" w:ascii="Times New Roman" w:hAnsi="Times New Roman" w:eastAsia="宋体" w:cs="Times New Roman"/>
          <w:spacing w:val="1"/>
          <w:sz w:val="28"/>
          <w:szCs w:val="28"/>
        </w:rPr>
        <w:t>筛分</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1"/>
          <w:sz w:val="28"/>
          <w:szCs w:val="28"/>
        </w:rPr>
        <w:t>磁选、浮选等工艺；建筑用石加工</w:t>
      </w:r>
      <w:r>
        <w:rPr>
          <w:rFonts w:hint="default" w:ascii="Times New Roman" w:hAnsi="Times New Roman" w:eastAsia="宋体" w:cs="Times New Roman"/>
          <w:sz w:val="28"/>
          <w:szCs w:val="28"/>
        </w:rPr>
        <w:t>企业主要</w:t>
      </w:r>
      <w:r>
        <w:rPr>
          <w:rFonts w:hint="default" w:ascii="Times New Roman" w:hAnsi="Times New Roman" w:eastAsia="宋体" w:cs="Times New Roman"/>
          <w:spacing w:val="8"/>
          <w:sz w:val="28"/>
          <w:szCs w:val="28"/>
        </w:rPr>
        <w:t>有破碎、筛分、锯解、磨抛、裁切等工序。</w:t>
      </w:r>
    </w:p>
    <w:p w14:paraId="2DCCEED2">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7" w:name="_Toc8633"/>
      <w:bookmarkStart w:id="8" w:name="_Toc2887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三</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主要污染物产排环节</w:t>
      </w:r>
      <w:bookmarkEnd w:id="7"/>
      <w:bookmarkEnd w:id="8"/>
    </w:p>
    <w:p w14:paraId="555CA04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82" w:firstLineChars="200"/>
        <w:textAlignment w:val="baseline"/>
        <w:rPr>
          <w:rFonts w:hint="default" w:ascii="Times New Roman" w:hAnsi="Times New Roman" w:eastAsia="宋体" w:cs="Times New Roman"/>
          <w:sz w:val="28"/>
          <w:szCs w:val="28"/>
        </w:rPr>
      </w:pPr>
      <w:r>
        <w:rPr>
          <w:rFonts w:hint="eastAsia" w:ascii="Times New Roman" w:hAnsi="Times New Roman" w:eastAsia="宋体" w:cs="Times New Roman"/>
          <w:b/>
          <w:bCs/>
          <w:spacing w:val="5"/>
          <w:sz w:val="28"/>
          <w:szCs w:val="28"/>
          <w:lang w:eastAsia="zh-CN"/>
        </w:rPr>
        <w:t>1.</w:t>
      </w:r>
      <w:r>
        <w:rPr>
          <w:rFonts w:hint="default" w:ascii="Times New Roman" w:hAnsi="Times New Roman" w:eastAsia="宋体" w:cs="Times New Roman"/>
          <w:b/>
          <w:bCs/>
          <w:spacing w:val="5"/>
          <w:sz w:val="28"/>
          <w:szCs w:val="28"/>
        </w:rPr>
        <w:t>颗粒物</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z w:val="28"/>
          <w:szCs w:val="28"/>
        </w:rPr>
        <w:t>PM</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pacing w:val="-80"/>
          <w:w w:val="93"/>
          <w:sz w:val="28"/>
          <w:szCs w:val="28"/>
          <w:lang w:eastAsia="zh-CN"/>
        </w:rPr>
        <w:t>：</w:t>
      </w:r>
      <w:r>
        <w:rPr>
          <w:rFonts w:hint="default" w:ascii="Times New Roman" w:hAnsi="Times New Roman" w:eastAsia="宋体" w:cs="Times New Roman"/>
          <w:spacing w:val="5"/>
          <w:sz w:val="28"/>
          <w:szCs w:val="28"/>
        </w:rPr>
        <w:t>主要来自矿石采选中的露天开</w:t>
      </w:r>
      <w:r>
        <w:rPr>
          <w:rFonts w:hint="default" w:ascii="Times New Roman" w:hAnsi="Times New Roman" w:eastAsia="宋体" w:cs="Times New Roman"/>
          <w:sz w:val="28"/>
          <w:szCs w:val="28"/>
        </w:rPr>
        <w:t>采、输送</w:t>
      </w:r>
      <w:r>
        <w:rPr>
          <w:rFonts w:hint="default" w:ascii="Times New Roman" w:hAnsi="Times New Roman" w:eastAsia="宋体" w:cs="Times New Roman"/>
          <w:spacing w:val="-41"/>
          <w:sz w:val="28"/>
          <w:szCs w:val="28"/>
          <w:lang w:eastAsia="zh-CN"/>
        </w:rPr>
        <w:t>、</w:t>
      </w:r>
      <w:r>
        <w:rPr>
          <w:rFonts w:hint="default" w:ascii="Times New Roman" w:hAnsi="Times New Roman" w:eastAsia="宋体" w:cs="Times New Roman"/>
          <w:sz w:val="28"/>
          <w:szCs w:val="28"/>
        </w:rPr>
        <w:t>破碎</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z w:val="28"/>
          <w:szCs w:val="28"/>
        </w:rPr>
        <w:t>筛分等工序，矿石加工中的破碎、筛</w:t>
      </w:r>
      <w:r>
        <w:rPr>
          <w:rFonts w:hint="default" w:ascii="Times New Roman" w:hAnsi="Times New Roman" w:eastAsia="宋体" w:cs="Times New Roman"/>
          <w:spacing w:val="-2"/>
          <w:sz w:val="28"/>
          <w:szCs w:val="28"/>
        </w:rPr>
        <w:t>分、锯解、磨抛、裁切等工序</w:t>
      </w:r>
      <w:r>
        <w:rPr>
          <w:rFonts w:hint="default" w:ascii="Times New Roman" w:hAnsi="Times New Roman" w:eastAsia="宋体" w:cs="Times New Roman"/>
          <w:spacing w:val="3"/>
          <w:sz w:val="28"/>
          <w:szCs w:val="28"/>
          <w:lang w:eastAsia="zh-CN"/>
        </w:rPr>
        <w:t>，</w:t>
      </w:r>
      <w:r>
        <w:rPr>
          <w:rFonts w:hint="default" w:ascii="Times New Roman" w:hAnsi="Times New Roman" w:eastAsia="宋体" w:cs="Times New Roman"/>
          <w:spacing w:val="3"/>
          <w:sz w:val="28"/>
          <w:szCs w:val="28"/>
        </w:rPr>
        <w:t>以及厂内锅炉燃料燃烧产生。</w:t>
      </w:r>
    </w:p>
    <w:p w14:paraId="2DEFFD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42" w:firstLineChars="200"/>
        <w:textAlignment w:val="baseline"/>
        <w:rPr>
          <w:rFonts w:hint="default" w:ascii="Times New Roman" w:hAnsi="Times New Roman" w:eastAsia="宋体" w:cs="Times New Roman"/>
          <w:spacing w:val="6"/>
          <w:sz w:val="28"/>
          <w:szCs w:val="28"/>
        </w:rPr>
      </w:pPr>
      <w:r>
        <w:rPr>
          <w:rFonts w:hint="eastAsia" w:ascii="Times New Roman" w:hAnsi="Times New Roman" w:eastAsia="宋体" w:cs="Times New Roman"/>
          <w:b/>
          <w:bCs/>
          <w:spacing w:val="-5"/>
          <w:sz w:val="28"/>
          <w:szCs w:val="28"/>
          <w:lang w:eastAsia="zh-CN"/>
        </w:rPr>
        <w:t>2.</w:t>
      </w:r>
      <w:r>
        <w:rPr>
          <w:rFonts w:hint="default" w:ascii="Times New Roman" w:hAnsi="Times New Roman" w:eastAsia="宋体" w:cs="Times New Roman"/>
          <w:b/>
          <w:bCs/>
          <w:spacing w:val="-5"/>
          <w:sz w:val="28"/>
          <w:szCs w:val="28"/>
        </w:rPr>
        <w:t>二氧化硫</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pacing w:val="-5"/>
          <w:sz w:val="28"/>
          <w:szCs w:val="28"/>
        </w:rPr>
        <w:t>SO</w:t>
      </w:r>
      <w:r>
        <w:rPr>
          <w:rFonts w:hint="default" w:ascii="Times New Roman" w:hAnsi="Times New Roman" w:eastAsia="宋体" w:cs="Times New Roman"/>
          <w:b/>
          <w:bCs/>
          <w:spacing w:val="-5"/>
          <w:position w:val="-2"/>
          <w:sz w:val="28"/>
          <w:szCs w:val="28"/>
          <w:vertAlign w:val="subscript"/>
        </w:rPr>
        <w:t>2</w:t>
      </w:r>
      <w:r>
        <w:rPr>
          <w:rFonts w:hint="default" w:ascii="Times New Roman" w:hAnsi="Times New Roman" w:eastAsia="宋体" w:cs="Times New Roman"/>
          <w:b/>
          <w:bCs/>
          <w:spacing w:val="-5"/>
          <w:position w:val="-2"/>
          <w:sz w:val="28"/>
          <w:szCs w:val="28"/>
          <w:vertAlign w:val="baseline"/>
          <w:lang w:eastAsia="zh-CN"/>
        </w:rPr>
        <w:t>）</w:t>
      </w:r>
      <w:r>
        <w:rPr>
          <w:rFonts w:hint="default" w:ascii="Times New Roman" w:hAnsi="Times New Roman" w:eastAsia="宋体" w:cs="Times New Roman"/>
          <w:b/>
          <w:bCs/>
          <w:spacing w:val="-10"/>
          <w:sz w:val="28"/>
          <w:szCs w:val="28"/>
        </w:rPr>
        <w:t>、氮氧化物</w:t>
      </w:r>
      <w:r>
        <w:rPr>
          <w:rFonts w:hint="default" w:ascii="Times New Roman" w:hAnsi="Times New Roman" w:eastAsia="宋体" w:cs="Times New Roman"/>
          <w:b/>
          <w:bCs/>
          <w:spacing w:val="-10"/>
          <w:sz w:val="28"/>
          <w:szCs w:val="28"/>
          <w:lang w:eastAsia="zh-CN"/>
        </w:rPr>
        <w:t>（</w:t>
      </w:r>
      <w:r>
        <w:rPr>
          <w:rFonts w:hint="default" w:ascii="Times New Roman" w:hAnsi="Times New Roman" w:eastAsia="宋体" w:cs="Times New Roman"/>
          <w:b/>
          <w:bCs/>
          <w:spacing w:val="-10"/>
          <w:sz w:val="28"/>
          <w:szCs w:val="28"/>
        </w:rPr>
        <w:t>NOx</w:t>
      </w:r>
      <w:r>
        <w:rPr>
          <w:rFonts w:hint="default" w:ascii="Times New Roman" w:hAnsi="Times New Roman" w:eastAsia="宋体" w:cs="Times New Roman"/>
          <w:b/>
          <w:bCs/>
          <w:spacing w:val="-66"/>
          <w:sz w:val="28"/>
          <w:szCs w:val="28"/>
        </w:rPr>
        <w:t>）</w:t>
      </w:r>
      <w:r>
        <w:rPr>
          <w:rFonts w:hint="default" w:ascii="Times New Roman" w:hAnsi="Times New Roman" w:eastAsia="宋体" w:cs="Times New Roman"/>
          <w:b/>
          <w:bCs/>
          <w:spacing w:val="-66"/>
          <w:sz w:val="28"/>
          <w:szCs w:val="28"/>
          <w:lang w:eastAsia="zh-CN"/>
        </w:rPr>
        <w:t>：</w:t>
      </w:r>
      <w:r>
        <w:rPr>
          <w:rFonts w:hint="default" w:ascii="Times New Roman" w:hAnsi="Times New Roman" w:eastAsia="宋体" w:cs="Times New Roman"/>
          <w:spacing w:val="-10"/>
          <w:sz w:val="28"/>
          <w:szCs w:val="28"/>
        </w:rPr>
        <w:t>主要来自厂内锅炉</w:t>
      </w:r>
      <w:r>
        <w:rPr>
          <w:rFonts w:hint="default" w:ascii="Times New Roman" w:hAnsi="Times New Roman" w:eastAsia="宋体" w:cs="Times New Roman"/>
          <w:spacing w:val="6"/>
          <w:sz w:val="28"/>
          <w:szCs w:val="28"/>
        </w:rPr>
        <w:t>燃料燃烧。</w:t>
      </w:r>
    </w:p>
    <w:p w14:paraId="50FCC87B">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3352933C">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0B0A0F42">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4EF3ECFD">
      <w:pPr>
        <w:pStyle w:val="3"/>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default" w:ascii="Times New Roman" w:hAnsi="Times New Roman" w:eastAsia="楷体" w:cs="Times New Roman"/>
          <w:b/>
          <w:sz w:val="30"/>
          <w:szCs w:val="30"/>
        </w:rPr>
        <w:sectPr>
          <w:footerReference r:id="rId8" w:type="default"/>
          <w:pgSz w:w="11906" w:h="16839"/>
          <w:pgMar w:top="1440" w:right="1080" w:bottom="1440" w:left="1080" w:header="0" w:footer="1422" w:gutter="0"/>
          <w:pgBorders>
            <w:top w:val="none" w:sz="0" w:space="0"/>
            <w:left w:val="none" w:sz="0" w:space="0"/>
            <w:bottom w:val="none" w:sz="0" w:space="0"/>
            <w:right w:val="none" w:sz="0" w:space="0"/>
          </w:pgBorders>
          <w:pgNumType w:fmt="decimal" w:start="1"/>
          <w:cols w:space="720" w:num="1"/>
        </w:sectPr>
      </w:pPr>
    </w:p>
    <w:p w14:paraId="5A3225E2">
      <w:pPr>
        <w:pStyle w:val="3"/>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default" w:ascii="Times New Roman" w:hAnsi="Times New Roman" w:eastAsia="楷体" w:cs="Times New Roman"/>
          <w:b/>
          <w:color w:val="auto"/>
          <w:sz w:val="30"/>
          <w:szCs w:val="30"/>
        </w:rPr>
      </w:pPr>
      <w:bookmarkStart w:id="9" w:name="_Toc20878"/>
      <w:bookmarkStart w:id="10" w:name="_Toc1726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9"/>
      <w:bookmarkEnd w:id="10"/>
    </w:p>
    <w:p w14:paraId="4EE8AE4D">
      <w:pPr>
        <w:spacing w:before="133" w:line="212" w:lineRule="auto"/>
        <w:ind w:left="842"/>
        <w:jc w:val="center"/>
        <w:rPr>
          <w:rFonts w:hint="default" w:ascii="Times New Roman" w:hAnsi="Times New Roman" w:eastAsia="宋体" w:cs="Times New Roman"/>
          <w:b/>
          <w:bCs/>
          <w:color w:val="auto"/>
          <w:sz w:val="30"/>
          <w:szCs w:val="30"/>
        </w:rPr>
      </w:pPr>
      <w:r>
        <w:rPr>
          <w:rFonts w:hint="default" w:ascii="Times New Roman" w:hAnsi="Times New Roman" w:eastAsia="宋体" w:cs="Times New Roman"/>
          <w:b/>
          <w:bCs/>
          <w:color w:val="auto"/>
          <w:spacing w:val="6"/>
          <w:sz w:val="30"/>
          <w:szCs w:val="30"/>
        </w:rPr>
        <w:t>表1-1</w:t>
      </w:r>
      <w:r>
        <w:rPr>
          <w:rFonts w:hint="default" w:ascii="Times New Roman" w:hAnsi="Times New Roman" w:eastAsia="宋体" w:cs="Times New Roman"/>
          <w:b/>
          <w:bCs/>
          <w:color w:val="auto"/>
          <w:spacing w:val="6"/>
          <w:sz w:val="30"/>
          <w:szCs w:val="30"/>
          <w:lang w:val="en-US" w:eastAsia="zh-CN"/>
        </w:rPr>
        <w:t xml:space="preserve">  </w:t>
      </w:r>
      <w:r>
        <w:rPr>
          <w:rFonts w:hint="default" w:ascii="Times New Roman" w:hAnsi="Times New Roman" w:eastAsia="宋体" w:cs="Times New Roman"/>
          <w:b/>
          <w:bCs/>
          <w:color w:val="auto"/>
          <w:spacing w:val="6"/>
          <w:sz w:val="30"/>
          <w:szCs w:val="30"/>
        </w:rPr>
        <w:t>矿石采选与加工企业绩效分级指标</w:t>
      </w:r>
    </w:p>
    <w:p w14:paraId="0E6511B2">
      <w:pPr>
        <w:spacing w:line="96" w:lineRule="exact"/>
        <w:rPr>
          <w:rFonts w:hint="default" w:ascii="Times New Roman" w:hAnsi="Times New Roman" w:cs="Times New Roman"/>
          <w:color w:val="auto"/>
        </w:rPr>
      </w:pPr>
    </w:p>
    <w:tbl>
      <w:tblPr>
        <w:tblStyle w:val="12"/>
        <w:tblW w:w="502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6"/>
        <w:gridCol w:w="4221"/>
        <w:gridCol w:w="4024"/>
        <w:gridCol w:w="3664"/>
        <w:gridCol w:w="1354"/>
      </w:tblGrid>
      <w:tr w14:paraId="06B9C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blHeader/>
        </w:trPr>
        <w:tc>
          <w:tcPr>
            <w:tcW w:w="1486" w:type="dxa"/>
            <w:vAlign w:val="center"/>
          </w:tcPr>
          <w:p w14:paraId="4F11605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差异化指标</w:t>
            </w:r>
          </w:p>
        </w:tc>
        <w:tc>
          <w:tcPr>
            <w:tcW w:w="4221" w:type="dxa"/>
            <w:vAlign w:val="center"/>
          </w:tcPr>
          <w:p w14:paraId="04B6D54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A级企业</w:t>
            </w:r>
          </w:p>
        </w:tc>
        <w:tc>
          <w:tcPr>
            <w:tcW w:w="4024" w:type="dxa"/>
            <w:vAlign w:val="center"/>
          </w:tcPr>
          <w:p w14:paraId="2C7EA0C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B级企业</w:t>
            </w:r>
          </w:p>
        </w:tc>
        <w:tc>
          <w:tcPr>
            <w:tcW w:w="3664" w:type="dxa"/>
            <w:vAlign w:val="center"/>
          </w:tcPr>
          <w:p w14:paraId="1DBAD11D">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C级企业</w:t>
            </w:r>
          </w:p>
        </w:tc>
        <w:tc>
          <w:tcPr>
            <w:tcW w:w="1354" w:type="dxa"/>
            <w:vAlign w:val="center"/>
          </w:tcPr>
          <w:p w14:paraId="0F1DE0FA">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lang w:val="en-US" w:eastAsia="zh-CN"/>
              </w:rPr>
            </w:pPr>
            <w:r>
              <w:rPr>
                <w:rFonts w:hint="default" w:ascii="Times New Roman" w:hAnsi="Times New Roman" w:cs="Times New Roman"/>
                <w:b/>
                <w:bCs/>
                <w:color w:val="auto"/>
                <w:spacing w:val="0"/>
                <w:position w:val="0"/>
                <w:sz w:val="21"/>
                <w:szCs w:val="21"/>
                <w:shd w:val="clear" w:color="auto" w:fill="auto"/>
                <w:lang w:val="en-US" w:eastAsia="zh-CN"/>
              </w:rPr>
              <w:t>D级企业</w:t>
            </w:r>
          </w:p>
        </w:tc>
      </w:tr>
      <w:tr w14:paraId="1D70E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1486" w:type="dxa"/>
            <w:vAlign w:val="center"/>
          </w:tcPr>
          <w:p w14:paraId="3F501FE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能源类型</w:t>
            </w:r>
          </w:p>
        </w:tc>
        <w:tc>
          <w:tcPr>
            <w:tcW w:w="4221" w:type="dxa"/>
            <w:tcBorders>
              <w:right w:val="single" w:color="auto" w:sz="4" w:space="0"/>
            </w:tcBorders>
            <w:vAlign w:val="center"/>
          </w:tcPr>
          <w:p w14:paraId="147767A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锅炉采用电、天然气、</w:t>
            </w:r>
            <w:r>
              <w:rPr>
                <w:rFonts w:hint="default" w:ascii="Times New Roman" w:hAnsi="Times New Roman" w:cs="Times New Roman"/>
                <w:b w:val="0"/>
                <w:bCs w:val="0"/>
                <w:color w:val="auto"/>
                <w:spacing w:val="0"/>
                <w:position w:val="0"/>
                <w:sz w:val="21"/>
                <w:szCs w:val="21"/>
                <w:shd w:val="clear" w:color="auto" w:fill="auto"/>
                <w:lang w:val="en-US" w:eastAsia="zh-CN"/>
              </w:rPr>
              <w:t>液化石油气</w:t>
            </w:r>
            <w:r>
              <w:rPr>
                <w:rFonts w:hint="default" w:ascii="Times New Roman" w:hAnsi="Times New Roman" w:eastAsia="宋体" w:cs="Times New Roman"/>
                <w:b w:val="0"/>
                <w:bCs w:val="0"/>
                <w:color w:val="auto"/>
                <w:spacing w:val="0"/>
                <w:position w:val="0"/>
                <w:sz w:val="21"/>
                <w:szCs w:val="21"/>
                <w:shd w:val="clear" w:color="auto" w:fill="auto"/>
              </w:rPr>
              <w:t>等能源</w:t>
            </w:r>
          </w:p>
        </w:tc>
        <w:tc>
          <w:tcPr>
            <w:tcW w:w="4024" w:type="dxa"/>
            <w:tcBorders>
              <w:left w:val="single" w:color="auto" w:sz="4" w:space="0"/>
            </w:tcBorders>
            <w:vAlign w:val="center"/>
          </w:tcPr>
          <w:p w14:paraId="04C9869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锅炉采用电、天然气、</w:t>
            </w:r>
            <w:r>
              <w:rPr>
                <w:rFonts w:hint="default" w:ascii="Times New Roman" w:hAnsi="Times New Roman" w:cs="Times New Roman"/>
                <w:b w:val="0"/>
                <w:bCs w:val="0"/>
                <w:color w:val="auto"/>
                <w:spacing w:val="0"/>
                <w:position w:val="0"/>
                <w:sz w:val="21"/>
                <w:szCs w:val="21"/>
                <w:shd w:val="clear" w:color="auto" w:fill="auto"/>
                <w:lang w:val="en-US" w:eastAsia="zh-CN"/>
              </w:rPr>
              <w:t>液化石油气</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cs="Times New Roman"/>
                <w:b w:val="0"/>
                <w:bCs w:val="0"/>
                <w:color w:val="auto"/>
                <w:spacing w:val="0"/>
                <w:position w:val="0"/>
                <w:sz w:val="21"/>
                <w:szCs w:val="21"/>
                <w:shd w:val="clear" w:color="auto" w:fill="auto"/>
                <w:lang w:val="en-US" w:eastAsia="zh-CN"/>
              </w:rPr>
              <w:t>生物质</w:t>
            </w:r>
            <w:r>
              <w:rPr>
                <w:rFonts w:hint="default" w:ascii="Times New Roman" w:hAnsi="Times New Roman" w:eastAsia="宋体" w:cs="Times New Roman"/>
                <w:b w:val="0"/>
                <w:bCs w:val="0"/>
                <w:color w:val="auto"/>
                <w:spacing w:val="0"/>
                <w:position w:val="0"/>
                <w:sz w:val="21"/>
                <w:szCs w:val="21"/>
                <w:shd w:val="clear" w:color="auto" w:fill="auto"/>
              </w:rPr>
              <w:t>等能源</w:t>
            </w:r>
          </w:p>
        </w:tc>
        <w:tc>
          <w:tcPr>
            <w:tcW w:w="5018" w:type="dxa"/>
            <w:gridSpan w:val="2"/>
            <w:vAlign w:val="center"/>
          </w:tcPr>
          <w:p w14:paraId="56136FE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default" w:ascii="Times New Roman" w:hAnsi="Times New Roman" w:cs="Times New Roman"/>
                <w:b w:val="0"/>
                <w:bCs w:val="0"/>
                <w:color w:val="auto"/>
                <w:spacing w:val="0"/>
                <w:position w:val="0"/>
                <w:sz w:val="21"/>
                <w:szCs w:val="21"/>
                <w:shd w:val="clear" w:color="auto" w:fill="auto"/>
                <w:lang w:eastAsia="zh-CN"/>
              </w:rPr>
              <w:t>未达到B级要求。</w:t>
            </w:r>
          </w:p>
        </w:tc>
      </w:tr>
      <w:tr w14:paraId="29CC3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86" w:type="dxa"/>
            <w:vAlign w:val="center"/>
          </w:tcPr>
          <w:p w14:paraId="07DEEB6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污染治理技术</w:t>
            </w:r>
          </w:p>
        </w:tc>
        <w:tc>
          <w:tcPr>
            <w:tcW w:w="4221" w:type="dxa"/>
            <w:vAlign w:val="center"/>
          </w:tcPr>
          <w:p w14:paraId="5C9B460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除尘采用覆膜滤袋、滤筒等除尘技术（设计除尘效率不低于</w:t>
            </w:r>
            <w:r>
              <w:rPr>
                <w:rFonts w:hint="eastAsia" w:ascii="Times New Roman" w:hAnsi="Times New Roman" w:cs="Times New Roman"/>
                <w:b w:val="0"/>
                <w:bCs w:val="0"/>
                <w:color w:val="auto"/>
                <w:spacing w:val="0"/>
                <w:position w:val="0"/>
                <w:sz w:val="21"/>
                <w:szCs w:val="21"/>
                <w:shd w:val="clear" w:color="auto" w:fill="auto"/>
                <w:lang w:eastAsia="zh-CN"/>
              </w:rPr>
              <w:t>99%</w:t>
            </w:r>
            <w:r>
              <w:rPr>
                <w:rFonts w:hint="default" w:ascii="Times New Roman" w:hAnsi="Times New Roman" w:eastAsia="宋体" w:cs="Times New Roman"/>
                <w:b w:val="0"/>
                <w:bCs w:val="0"/>
                <w:color w:val="auto"/>
                <w:spacing w:val="0"/>
                <w:position w:val="0"/>
                <w:sz w:val="21"/>
                <w:szCs w:val="21"/>
                <w:shd w:val="clear" w:color="auto" w:fill="auto"/>
              </w:rPr>
              <w:t>）；</w:t>
            </w:r>
          </w:p>
          <w:p w14:paraId="76C0EF1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NOx治理采用低氮燃烧</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SNCR/SCR等适宜技术。使用氨法脱硝的企业，氨的装卸、储存、输送、制备等过程全程密闭，并采取氨气泄漏检测和收集措施；采用尿素作为还原剂的配备有尿素加热水解制氨系统。</w:t>
            </w:r>
          </w:p>
        </w:tc>
        <w:tc>
          <w:tcPr>
            <w:tcW w:w="4024" w:type="dxa"/>
            <w:vAlign w:val="center"/>
          </w:tcPr>
          <w:p w14:paraId="4782774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除尘采用袋式除尘、</w:t>
            </w:r>
            <w:r>
              <w:rPr>
                <w:rFonts w:hint="default" w:ascii="Times New Roman" w:hAnsi="Times New Roman" w:eastAsia="宋体" w:cs="Times New Roman"/>
                <w:b w:val="0"/>
                <w:bCs w:val="0"/>
                <w:color w:val="auto"/>
                <w:spacing w:val="0"/>
                <w:position w:val="0"/>
                <w:sz w:val="21"/>
                <w:szCs w:val="21"/>
                <w:shd w:val="clear" w:color="auto" w:fill="auto"/>
                <w:lang w:val="en-US" w:eastAsia="zh-CN"/>
              </w:rPr>
              <w:t>滤筒除尘</w:t>
            </w:r>
            <w:r>
              <w:rPr>
                <w:rFonts w:hint="default" w:ascii="Times New Roman" w:hAnsi="Times New Roman" w:cs="Times New Roman"/>
                <w:b w:val="0"/>
                <w:bCs w:val="0"/>
                <w:color w:val="auto"/>
                <w:spacing w:val="0"/>
                <w:position w:val="0"/>
                <w:sz w:val="21"/>
                <w:szCs w:val="21"/>
                <w:shd w:val="clear" w:color="auto" w:fill="auto"/>
                <w:lang w:val="en-US" w:eastAsia="zh-CN"/>
              </w:rPr>
              <w:t>、</w:t>
            </w:r>
            <w:r>
              <w:rPr>
                <w:rFonts w:hint="default" w:ascii="Times New Roman" w:hAnsi="Times New Roman" w:eastAsia="宋体" w:cs="Times New Roman"/>
                <w:b w:val="0"/>
                <w:bCs w:val="0"/>
                <w:color w:val="auto"/>
                <w:spacing w:val="0"/>
                <w:position w:val="0"/>
                <w:sz w:val="21"/>
                <w:szCs w:val="21"/>
                <w:shd w:val="clear" w:color="auto" w:fill="auto"/>
              </w:rPr>
              <w:t>电袋复合除尘等除尘技术</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cs="Times New Roman"/>
                <w:b w:val="0"/>
                <w:bCs w:val="0"/>
                <w:color w:val="auto"/>
                <w:spacing w:val="0"/>
                <w:position w:val="0"/>
                <w:sz w:val="21"/>
                <w:szCs w:val="21"/>
                <w:shd w:val="clear" w:color="auto" w:fill="auto"/>
                <w:lang w:val="en-US" w:eastAsia="zh-CN"/>
              </w:rPr>
              <w:t>湿法</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1</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eastAsia="宋体" w:cs="Times New Roman"/>
                <w:b w:val="0"/>
                <w:bCs w:val="0"/>
                <w:color w:val="auto"/>
                <w:spacing w:val="0"/>
                <w:position w:val="0"/>
                <w:sz w:val="21"/>
                <w:szCs w:val="21"/>
                <w:shd w:val="clear" w:color="auto" w:fill="auto"/>
              </w:rPr>
              <w:t>切割、打磨、雕刻、抛光</w:t>
            </w:r>
            <w:r>
              <w:rPr>
                <w:rFonts w:hint="default" w:ascii="Times New Roman" w:hAnsi="Times New Roman" w:cs="Times New Roman"/>
                <w:b w:val="0"/>
                <w:bCs w:val="0"/>
                <w:color w:val="auto"/>
                <w:spacing w:val="0"/>
                <w:position w:val="0"/>
                <w:sz w:val="21"/>
                <w:szCs w:val="21"/>
                <w:shd w:val="clear" w:color="auto" w:fill="auto"/>
                <w:lang w:val="en-US" w:eastAsia="zh-CN"/>
              </w:rPr>
              <w:t>作业可不配套除尘设备</w:t>
            </w:r>
            <w:r>
              <w:rPr>
                <w:rFonts w:hint="default" w:ascii="Times New Roman" w:hAnsi="Times New Roman" w:eastAsia="宋体" w:cs="Times New Roman"/>
                <w:b w:val="0"/>
                <w:bCs w:val="0"/>
                <w:color w:val="auto"/>
                <w:spacing w:val="0"/>
                <w:position w:val="0"/>
                <w:sz w:val="21"/>
                <w:szCs w:val="21"/>
                <w:shd w:val="clear" w:color="auto" w:fill="auto"/>
              </w:rPr>
              <w:t>；</w:t>
            </w:r>
          </w:p>
          <w:p w14:paraId="60E081C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NOx治理采用低氮燃烧</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SNCR/SCR等适宜技术。使用氨法脱硝的企业，氨的装卸、储存、输送、制备等过程全程密闭，并采取氨气泄漏检测和收集措施；采用尿素作为还原剂的配备有尿素加热水解制氨系统。</w:t>
            </w:r>
          </w:p>
          <w:p w14:paraId="3F24CE9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：采用湿法（配备自动加碱和pH值测量）、干法或半干法脱硫技术（设计效率不低于85%）</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2</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lang w:eastAsia="zh-CN"/>
              </w:rPr>
              <w:t>。</w:t>
            </w:r>
          </w:p>
        </w:tc>
        <w:tc>
          <w:tcPr>
            <w:tcW w:w="3664" w:type="dxa"/>
            <w:vAlign w:val="center"/>
          </w:tcPr>
          <w:p w14:paraId="639E47D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cs="Times New Roman"/>
                <w:b w:val="0"/>
                <w:bCs w:val="0"/>
                <w:color w:val="auto"/>
                <w:spacing w:val="0"/>
                <w:position w:val="0"/>
                <w:sz w:val="21"/>
                <w:szCs w:val="21"/>
                <w:shd w:val="clear" w:color="auto" w:fill="auto"/>
                <w:lang w:val="en-US" w:eastAsia="zh-CN"/>
              </w:rPr>
              <w:t>同</w:t>
            </w:r>
            <w:r>
              <w:rPr>
                <w:rFonts w:hint="default" w:ascii="Times New Roman" w:hAnsi="Times New Roman" w:eastAsia="宋体" w:cs="Times New Roman"/>
                <w:b w:val="0"/>
                <w:bCs w:val="0"/>
                <w:color w:val="auto"/>
                <w:spacing w:val="0"/>
                <w:position w:val="0"/>
                <w:sz w:val="21"/>
                <w:szCs w:val="21"/>
                <w:shd w:val="clear" w:color="auto" w:fill="auto"/>
              </w:rPr>
              <w:t>B级</w:t>
            </w:r>
            <w:r>
              <w:rPr>
                <w:rFonts w:hint="default" w:ascii="Times New Roman" w:hAnsi="Times New Roman" w:cs="Times New Roman"/>
                <w:b w:val="0"/>
                <w:bCs w:val="0"/>
                <w:color w:val="auto"/>
                <w:spacing w:val="0"/>
                <w:position w:val="0"/>
                <w:sz w:val="21"/>
                <w:szCs w:val="21"/>
                <w:shd w:val="clear" w:color="auto" w:fill="auto"/>
                <w:lang w:val="en-US" w:eastAsia="zh-CN"/>
              </w:rPr>
              <w:t>第1条</w:t>
            </w:r>
            <w:r>
              <w:rPr>
                <w:rFonts w:hint="default" w:ascii="Times New Roman" w:hAnsi="Times New Roman" w:eastAsia="宋体" w:cs="Times New Roman"/>
                <w:b w:val="0"/>
                <w:bCs w:val="0"/>
                <w:color w:val="auto"/>
                <w:spacing w:val="0"/>
                <w:position w:val="0"/>
                <w:sz w:val="21"/>
                <w:szCs w:val="21"/>
                <w:shd w:val="clear" w:color="auto" w:fill="auto"/>
              </w:rPr>
              <w:t>要求；</w:t>
            </w:r>
          </w:p>
          <w:p w14:paraId="35149C6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2.</w:t>
            </w:r>
            <w:r>
              <w:rPr>
                <w:rFonts w:hint="default" w:ascii="Times New Roman" w:hAnsi="Times New Roman" w:cs="Times New Roman"/>
                <w:b w:val="0"/>
                <w:bCs w:val="0"/>
                <w:color w:val="auto"/>
                <w:spacing w:val="0"/>
                <w:position w:val="0"/>
                <w:sz w:val="21"/>
                <w:szCs w:val="21"/>
                <w:shd w:val="clear" w:color="auto" w:fill="auto"/>
                <w:lang w:val="en-US" w:eastAsia="zh-CN"/>
              </w:rPr>
              <w:t>同</w:t>
            </w:r>
            <w:r>
              <w:rPr>
                <w:rFonts w:hint="default" w:ascii="Times New Roman" w:hAnsi="Times New Roman" w:eastAsia="宋体" w:cs="Times New Roman"/>
                <w:b w:val="0"/>
                <w:bCs w:val="0"/>
                <w:color w:val="auto"/>
                <w:spacing w:val="0"/>
                <w:position w:val="0"/>
                <w:sz w:val="21"/>
                <w:szCs w:val="21"/>
                <w:shd w:val="clear" w:color="auto" w:fill="auto"/>
              </w:rPr>
              <w:t>B级</w:t>
            </w:r>
            <w:r>
              <w:rPr>
                <w:rFonts w:hint="default" w:ascii="Times New Roman" w:hAnsi="Times New Roman" w:cs="Times New Roman"/>
                <w:b w:val="0"/>
                <w:bCs w:val="0"/>
                <w:color w:val="auto"/>
                <w:spacing w:val="0"/>
                <w:position w:val="0"/>
                <w:sz w:val="21"/>
                <w:szCs w:val="21"/>
                <w:shd w:val="clear" w:color="auto" w:fill="auto"/>
                <w:lang w:val="en-US" w:eastAsia="zh-CN"/>
              </w:rPr>
              <w:t>第2条</w:t>
            </w:r>
            <w:r>
              <w:rPr>
                <w:rFonts w:hint="default" w:ascii="Times New Roman" w:hAnsi="Times New Roman" w:eastAsia="宋体" w:cs="Times New Roman"/>
                <w:b w:val="0"/>
                <w:bCs w:val="0"/>
                <w:color w:val="auto"/>
                <w:spacing w:val="0"/>
                <w:position w:val="0"/>
                <w:sz w:val="21"/>
                <w:szCs w:val="21"/>
                <w:shd w:val="clear" w:color="auto" w:fill="auto"/>
              </w:rPr>
              <w:t>要求</w:t>
            </w:r>
            <w:r>
              <w:rPr>
                <w:rFonts w:hint="default" w:ascii="Times New Roman" w:hAnsi="Times New Roman" w:cs="Times New Roman"/>
                <w:b w:val="0"/>
                <w:bCs w:val="0"/>
                <w:color w:val="auto"/>
                <w:spacing w:val="0"/>
                <w:position w:val="0"/>
                <w:sz w:val="21"/>
                <w:szCs w:val="21"/>
                <w:shd w:val="clear" w:color="auto" w:fill="auto"/>
                <w:lang w:val="en-US" w:eastAsia="zh-CN"/>
              </w:rPr>
              <w:t>；</w:t>
            </w:r>
          </w:p>
          <w:p w14:paraId="740E7D5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：采用湿法、干法或半干法等脱硫技术</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2</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eastAsia="宋体" w:cs="Times New Roman"/>
                <w:b w:val="0"/>
                <w:bCs w:val="0"/>
                <w:color w:val="auto"/>
                <w:spacing w:val="0"/>
                <w:position w:val="0"/>
                <w:sz w:val="21"/>
                <w:szCs w:val="21"/>
              </w:rPr>
              <w:t>。</w:t>
            </w:r>
          </w:p>
          <w:p w14:paraId="1D46E14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p>
        </w:tc>
        <w:tc>
          <w:tcPr>
            <w:tcW w:w="1354" w:type="dxa"/>
            <w:vAlign w:val="center"/>
          </w:tcPr>
          <w:p w14:paraId="273A2F3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1EA64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86" w:type="dxa"/>
            <w:vMerge w:val="restart"/>
            <w:vAlign w:val="center"/>
          </w:tcPr>
          <w:p w14:paraId="0B9A7234">
            <w:pPr>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p>
          <w:p w14:paraId="04B7437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无组织管控</w:t>
            </w:r>
          </w:p>
        </w:tc>
        <w:tc>
          <w:tcPr>
            <w:tcW w:w="11909" w:type="dxa"/>
            <w:gridSpan w:val="3"/>
            <w:tcBorders>
              <w:bottom w:val="single" w:color="auto" w:sz="4" w:space="0"/>
            </w:tcBorders>
            <w:vAlign w:val="center"/>
          </w:tcPr>
          <w:p w14:paraId="2028721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露天采矿采取自上而下水平分层开采，采取深孔微差、低尘爆破、机械采装，铲装作业同时喷水雾</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并及时洒水抑尘；</w:t>
            </w:r>
          </w:p>
          <w:p w14:paraId="462491B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矿石装卸、破碎、筛分等产尘工序应在封闭厂房内作业，产尘点采取二次封闭或设置集尘罩负压收集后采用袋式除尘处理；石材加工企业切割、打磨、雕刻、抛光等产尘工序</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应采用湿法作业，分类设置作业区域，作业区内建有规范的围堰、排水渠，将作业废水导排至封闭集水池进行有效收集、沉淀、澄清后回用；采用干法作业的，切割、打磨、雕刻、抛光等作业过程保持封闭，并配备粉尘收集高效处理装置；生产车间无可见粉尘外逸；</w:t>
            </w:r>
          </w:p>
          <w:p w14:paraId="66BC27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val="en-US"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3.</w:t>
            </w:r>
            <w:r>
              <w:rPr>
                <w:rFonts w:hint="default" w:ascii="Times New Roman" w:hAnsi="Times New Roman" w:eastAsia="宋体" w:cs="Times New Roman"/>
                <w:b w:val="0"/>
                <w:bCs w:val="0"/>
                <w:color w:val="auto"/>
                <w:spacing w:val="0"/>
                <w:position w:val="0"/>
                <w:sz w:val="21"/>
                <w:szCs w:val="21"/>
                <w:shd w:val="clear" w:color="auto" w:fill="auto"/>
              </w:rPr>
              <w:t>矿石、废石及尾矿运输道路路面与堆棚、堆场地面等应硬化，并采取定期清扫、洒水等抑尘措施；厂区内道路、堆场等路面应硬化，保持清洁，路面无明显可见积尘；</w:t>
            </w:r>
          </w:p>
        </w:tc>
        <w:tc>
          <w:tcPr>
            <w:tcW w:w="1354" w:type="dxa"/>
            <w:tcBorders>
              <w:bottom w:val="single" w:color="auto" w:sz="4" w:space="0"/>
            </w:tcBorders>
            <w:vAlign w:val="center"/>
          </w:tcPr>
          <w:p w14:paraId="66FD33B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5D703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 w:hRule="atLeast"/>
        </w:trPr>
        <w:tc>
          <w:tcPr>
            <w:tcW w:w="1486" w:type="dxa"/>
            <w:vMerge w:val="continue"/>
            <w:vAlign w:val="center"/>
          </w:tcPr>
          <w:p w14:paraId="29FB9A7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p>
        </w:tc>
        <w:tc>
          <w:tcPr>
            <w:tcW w:w="8245" w:type="dxa"/>
            <w:gridSpan w:val="2"/>
            <w:tcBorders>
              <w:top w:val="single" w:color="auto" w:sz="4" w:space="0"/>
            </w:tcBorders>
            <w:vAlign w:val="center"/>
          </w:tcPr>
          <w:p w14:paraId="36FDBFA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4.</w:t>
            </w:r>
            <w:r>
              <w:rPr>
                <w:rFonts w:hint="default" w:ascii="Times New Roman" w:hAnsi="Times New Roman" w:eastAsia="宋体" w:cs="Times New Roman"/>
                <w:b w:val="0"/>
                <w:bCs w:val="0"/>
                <w:color w:val="auto"/>
                <w:spacing w:val="0"/>
                <w:position w:val="0"/>
                <w:sz w:val="21"/>
                <w:szCs w:val="21"/>
                <w:shd w:val="clear" w:color="auto" w:fill="auto"/>
              </w:rPr>
              <w:t>粉状物料全部采取储罐、筒仓或覆膜吨包袋等密闭储存；粒状、块状物料全部封闭或密闭储存，封闭料场内装固定喷干雾装置，料场货物进出大门为硬质材料门或自动感应门，在确保安全的情况下，所有门窗保持常闭状态；</w:t>
            </w:r>
          </w:p>
          <w:p w14:paraId="6BED827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5.</w:t>
            </w:r>
            <w:r>
              <w:rPr>
                <w:rFonts w:hint="default" w:ascii="Times New Roman" w:hAnsi="Times New Roman" w:eastAsia="宋体" w:cs="Times New Roman"/>
                <w:b w:val="0"/>
                <w:bCs w:val="0"/>
                <w:color w:val="auto"/>
                <w:spacing w:val="0"/>
                <w:position w:val="0"/>
                <w:sz w:val="21"/>
                <w:szCs w:val="21"/>
                <w:shd w:val="clear" w:color="auto" w:fill="auto"/>
              </w:rPr>
              <w:t>各工序粉状、粒状等易产尘物料厂内转移、输送过程应采用气力输送、封闭斗提、封闭皮带等；无法封闭的产尘点（物料转载、下料口等）应采取集气除尘措施；产品装车道全封闭；</w:t>
            </w:r>
          </w:p>
          <w:p w14:paraId="5A20FDB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6.</w:t>
            </w:r>
            <w:r>
              <w:rPr>
                <w:rFonts w:hint="default" w:ascii="Times New Roman" w:hAnsi="Times New Roman" w:eastAsia="宋体" w:cs="Times New Roman"/>
                <w:b w:val="0"/>
                <w:bCs w:val="0"/>
                <w:color w:val="auto"/>
                <w:spacing w:val="0"/>
                <w:position w:val="0"/>
                <w:sz w:val="21"/>
                <w:szCs w:val="21"/>
                <w:shd w:val="clear" w:color="auto" w:fill="auto"/>
              </w:rPr>
              <w:t>除尘器设卸灰锁风装置，除尘灰密闭输送返回生产工序；无法实现返回的，设置密闭灰仓</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除尘灰应通过气力输送、罐车、吨包袋等方式卸灰，不得直接卸落到地面造成二次扬尘污染；</w:t>
            </w:r>
          </w:p>
          <w:p w14:paraId="05BBBFD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7.</w:t>
            </w:r>
            <w:r>
              <w:rPr>
                <w:rFonts w:hint="default" w:ascii="Times New Roman" w:hAnsi="Times New Roman" w:eastAsia="宋体" w:cs="Times New Roman"/>
                <w:b w:val="0"/>
                <w:bCs w:val="0"/>
                <w:color w:val="auto"/>
                <w:spacing w:val="0"/>
                <w:position w:val="0"/>
                <w:sz w:val="21"/>
                <w:szCs w:val="21"/>
                <w:shd w:val="clear" w:color="auto" w:fill="auto"/>
              </w:rPr>
              <w:t>大宗原料或成品的进、出口处，配备车轮车身高压清洗装置，洗车平台四周应设置洗车废水收集处理设施。</w:t>
            </w:r>
          </w:p>
          <w:p w14:paraId="50D26B5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p>
        </w:tc>
        <w:tc>
          <w:tcPr>
            <w:tcW w:w="3664" w:type="dxa"/>
            <w:tcBorders>
              <w:top w:val="single" w:color="auto" w:sz="4" w:space="0"/>
            </w:tcBorders>
            <w:vAlign w:val="center"/>
          </w:tcPr>
          <w:p w14:paraId="1F11771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4.</w:t>
            </w:r>
            <w:r>
              <w:rPr>
                <w:rFonts w:hint="default" w:ascii="Times New Roman" w:hAnsi="Times New Roman" w:eastAsia="宋体" w:cs="Times New Roman"/>
                <w:b w:val="0"/>
                <w:bCs w:val="0"/>
                <w:color w:val="auto"/>
                <w:spacing w:val="0"/>
                <w:position w:val="0"/>
                <w:sz w:val="21"/>
                <w:szCs w:val="21"/>
                <w:shd w:val="clear" w:color="auto" w:fill="auto"/>
              </w:rPr>
              <w:t>粉状物料全部采取储罐、筒仓或覆膜吨包袋等密闭储存；粒状、块状物料全部封闭或密闭储存</w:t>
            </w:r>
            <w:r>
              <w:rPr>
                <w:rFonts w:hint="default" w:ascii="Times New Roman" w:hAnsi="Times New Roman" w:eastAsia="宋体" w:cs="Times New Roman"/>
                <w:b w:val="0"/>
                <w:bCs w:val="0"/>
                <w:color w:val="auto"/>
                <w:spacing w:val="0"/>
                <w:position w:val="0"/>
                <w:sz w:val="21"/>
                <w:szCs w:val="21"/>
                <w:shd w:val="clear" w:color="auto" w:fill="auto"/>
                <w:lang w:eastAsia="zh-CN"/>
              </w:rPr>
              <w:t>；</w:t>
            </w:r>
          </w:p>
          <w:p w14:paraId="560D9E5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5.</w:t>
            </w:r>
            <w:r>
              <w:rPr>
                <w:rFonts w:hint="default" w:ascii="Times New Roman" w:hAnsi="Times New Roman" w:eastAsia="宋体" w:cs="Times New Roman"/>
                <w:b w:val="0"/>
                <w:bCs w:val="0"/>
                <w:color w:val="auto"/>
                <w:spacing w:val="0"/>
                <w:position w:val="0"/>
                <w:sz w:val="21"/>
                <w:szCs w:val="21"/>
                <w:shd w:val="clear" w:color="auto" w:fill="auto"/>
                <w:lang w:val="en-US" w:eastAsia="zh-CN"/>
              </w:rPr>
              <w:t>厂区内</w:t>
            </w:r>
            <w:r>
              <w:rPr>
                <w:rFonts w:hint="default" w:ascii="Times New Roman" w:hAnsi="Times New Roman" w:cs="Times New Roman"/>
                <w:b w:val="0"/>
                <w:bCs w:val="0"/>
                <w:color w:val="auto"/>
                <w:spacing w:val="0"/>
                <w:position w:val="0"/>
                <w:sz w:val="21"/>
                <w:szCs w:val="21"/>
                <w:shd w:val="clear" w:color="auto" w:fill="auto"/>
                <w:lang w:val="en-US" w:eastAsia="zh-CN"/>
              </w:rPr>
              <w:t>粉状、粒状</w:t>
            </w:r>
            <w:r>
              <w:rPr>
                <w:rFonts w:hint="default" w:ascii="Times New Roman" w:hAnsi="Times New Roman" w:eastAsia="宋体" w:cs="Times New Roman"/>
                <w:b w:val="0"/>
                <w:bCs w:val="0"/>
                <w:color w:val="auto"/>
                <w:spacing w:val="0"/>
                <w:position w:val="0"/>
                <w:sz w:val="21"/>
                <w:szCs w:val="21"/>
                <w:shd w:val="clear" w:color="auto" w:fill="auto"/>
                <w:lang w:val="en-US" w:eastAsia="zh-CN"/>
              </w:rPr>
              <w:t>物料运输采用</w:t>
            </w:r>
            <w:r>
              <w:rPr>
                <w:rFonts w:hint="default" w:ascii="Times New Roman" w:hAnsi="Times New Roman" w:cs="Times New Roman"/>
                <w:b w:val="0"/>
                <w:bCs w:val="0"/>
                <w:color w:val="auto"/>
                <w:spacing w:val="0"/>
                <w:position w:val="0"/>
                <w:sz w:val="21"/>
                <w:szCs w:val="21"/>
                <w:shd w:val="clear" w:color="auto" w:fill="auto"/>
                <w:lang w:val="en-US" w:eastAsia="zh-CN"/>
              </w:rPr>
              <w:t>密闭</w:t>
            </w:r>
            <w:r>
              <w:rPr>
                <w:rFonts w:hint="default" w:ascii="Times New Roman" w:hAnsi="Times New Roman" w:eastAsia="宋体" w:cs="Times New Roman"/>
                <w:b w:val="0"/>
                <w:bCs w:val="0"/>
                <w:color w:val="auto"/>
                <w:spacing w:val="0"/>
                <w:position w:val="0"/>
                <w:sz w:val="21"/>
                <w:szCs w:val="21"/>
                <w:shd w:val="clear" w:color="auto" w:fill="auto"/>
                <w:lang w:val="en-US" w:eastAsia="zh-CN"/>
              </w:rPr>
              <w:t>方式输送</w:t>
            </w:r>
            <w:r>
              <w:rPr>
                <w:rFonts w:hint="default" w:ascii="Times New Roman" w:hAnsi="Times New Roman" w:eastAsia="宋体" w:cs="Times New Roman"/>
                <w:b w:val="0"/>
                <w:bCs w:val="0"/>
                <w:color w:val="auto"/>
                <w:spacing w:val="0"/>
                <w:position w:val="0"/>
                <w:sz w:val="21"/>
                <w:szCs w:val="21"/>
                <w:shd w:val="clear" w:color="auto" w:fill="auto"/>
              </w:rPr>
              <w:t>；</w:t>
            </w:r>
            <w:r>
              <w:rPr>
                <w:rFonts w:hint="default" w:ascii="Times New Roman" w:hAnsi="Times New Roman" w:eastAsia="宋体" w:cs="Times New Roman"/>
                <w:b w:val="0"/>
                <w:bCs w:val="0"/>
                <w:color w:val="auto"/>
                <w:spacing w:val="0"/>
                <w:position w:val="0"/>
                <w:sz w:val="21"/>
                <w:szCs w:val="21"/>
                <w:shd w:val="clear" w:color="auto" w:fill="auto"/>
                <w:lang w:val="en-US" w:eastAsia="zh-CN"/>
              </w:rPr>
              <w:t>应在产尘点设置集气罩，并配备除尘设施</w:t>
            </w:r>
            <w:r>
              <w:rPr>
                <w:rFonts w:hint="default" w:ascii="Times New Roman" w:hAnsi="Times New Roman" w:eastAsia="宋体" w:cs="Times New Roman"/>
                <w:b w:val="0"/>
                <w:bCs w:val="0"/>
                <w:color w:val="auto"/>
                <w:spacing w:val="0"/>
                <w:position w:val="0"/>
                <w:sz w:val="21"/>
                <w:szCs w:val="21"/>
                <w:shd w:val="clear" w:color="auto" w:fill="auto"/>
              </w:rPr>
              <w:t>；</w:t>
            </w:r>
          </w:p>
          <w:p w14:paraId="7F75B50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6.</w:t>
            </w:r>
            <w:r>
              <w:rPr>
                <w:rFonts w:hint="default" w:ascii="Times New Roman" w:hAnsi="Times New Roman" w:eastAsia="宋体" w:cs="Times New Roman"/>
                <w:b w:val="0"/>
                <w:bCs w:val="0"/>
                <w:color w:val="auto"/>
                <w:spacing w:val="0"/>
                <w:position w:val="0"/>
                <w:sz w:val="21"/>
                <w:szCs w:val="21"/>
                <w:shd w:val="clear" w:color="auto" w:fill="auto"/>
              </w:rPr>
              <w:t>除尘器除尘灰应通过气力输送、罐车、吨包袋等方式卸灰，不得直接卸落到地面造成二次扬尘污染</w:t>
            </w:r>
            <w:r>
              <w:rPr>
                <w:rFonts w:hint="default" w:ascii="Times New Roman" w:hAnsi="Times New Roman" w:cs="Times New Roman"/>
                <w:b w:val="0"/>
                <w:bCs w:val="0"/>
                <w:color w:val="auto"/>
                <w:spacing w:val="0"/>
                <w:position w:val="0"/>
                <w:sz w:val="21"/>
                <w:szCs w:val="21"/>
                <w:shd w:val="clear" w:color="auto" w:fill="auto"/>
                <w:lang w:eastAsia="zh-CN"/>
              </w:rPr>
              <w:t>。</w:t>
            </w:r>
          </w:p>
        </w:tc>
        <w:tc>
          <w:tcPr>
            <w:tcW w:w="1354" w:type="dxa"/>
            <w:tcBorders>
              <w:top w:val="single" w:color="auto" w:sz="4" w:space="0"/>
            </w:tcBorders>
            <w:vAlign w:val="center"/>
          </w:tcPr>
          <w:p w14:paraId="1F86635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09606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7" w:hRule="atLeast"/>
        </w:trPr>
        <w:tc>
          <w:tcPr>
            <w:tcW w:w="1486" w:type="dxa"/>
            <w:vAlign w:val="center"/>
          </w:tcPr>
          <w:p w14:paraId="2B6B1F8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排放限值</w:t>
            </w:r>
          </w:p>
        </w:tc>
        <w:tc>
          <w:tcPr>
            <w:tcW w:w="4221" w:type="dxa"/>
            <w:tcBorders>
              <w:right w:val="single" w:color="auto" w:sz="4" w:space="0"/>
            </w:tcBorders>
            <w:vAlign w:val="center"/>
          </w:tcPr>
          <w:p w14:paraId="5ECCBE7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燃气锅炉烟气PM、SO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、NOx排放浓度分别不高于5、</w:t>
            </w:r>
            <w:r>
              <w:rPr>
                <w:rFonts w:hint="default" w:ascii="Times New Roman" w:hAnsi="Times New Roman" w:cs="Times New Roman"/>
                <w:b w:val="0"/>
                <w:bCs w:val="0"/>
                <w:color w:val="auto"/>
                <w:spacing w:val="0"/>
                <w:position w:val="0"/>
                <w:sz w:val="21"/>
                <w:szCs w:val="21"/>
                <w:lang w:val="en-US" w:eastAsia="zh-CN"/>
              </w:rPr>
              <w:t>10</w:t>
            </w:r>
            <w:r>
              <w:rPr>
                <w:rFonts w:hint="default" w:ascii="Times New Roman" w:hAnsi="Times New Roman" w:eastAsia="宋体" w:cs="Times New Roman"/>
                <w:b w:val="0"/>
                <w:bCs w:val="0"/>
                <w:color w:val="auto"/>
                <w:spacing w:val="0"/>
                <w:position w:val="0"/>
                <w:sz w:val="21"/>
                <w:szCs w:val="21"/>
              </w:rPr>
              <w:t>、50mg/</w:t>
            </w:r>
            <w:r>
              <w:rPr>
                <w:rFonts w:hint="default" w:ascii="Times New Roman" w:hAnsi="Times New Roman" w:cs="Times New Roman"/>
                <w:b w:val="0"/>
                <w:bCs w:val="0"/>
                <w:color w:val="auto"/>
                <w:spacing w:val="0"/>
                <w:position w:val="0"/>
                <w:sz w:val="21"/>
                <w:szCs w:val="21"/>
                <w:lang w:eastAsia="zh-CN"/>
              </w:rPr>
              <w:t>m³</w:t>
            </w:r>
            <w:r>
              <w:rPr>
                <w:rFonts w:hint="eastAsia"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基准氧含量：3.5%</w:t>
            </w:r>
            <w:r>
              <w:rPr>
                <w:rFonts w:hint="eastAsia"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w:t>
            </w:r>
          </w:p>
          <w:p w14:paraId="68E8F5F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氨逃逸排放浓度不高于8mg/</w:t>
            </w:r>
            <w:r>
              <w:rPr>
                <w:rFonts w:hint="default" w:ascii="Times New Roman" w:hAnsi="Times New Roman" w:cs="Times New Roman"/>
                <w:b w:val="0"/>
                <w:bCs w:val="0"/>
                <w:color w:val="auto"/>
                <w:spacing w:val="0"/>
                <w:position w:val="0"/>
                <w:sz w:val="21"/>
                <w:szCs w:val="21"/>
                <w:lang w:eastAsia="zh-CN"/>
              </w:rPr>
              <w:t>m³</w:t>
            </w:r>
            <w:r>
              <w:rPr>
                <w:rFonts w:hint="default" w:ascii="Times New Roman" w:hAnsi="Times New Roman" w:eastAsia="宋体" w:cs="Times New Roman"/>
                <w:b w:val="0"/>
                <w:bCs w:val="0"/>
                <w:color w:val="auto"/>
                <w:spacing w:val="0"/>
                <w:position w:val="0"/>
                <w:sz w:val="21"/>
                <w:szCs w:val="21"/>
              </w:rPr>
              <w:t>（使用氨水、尿素作还原剂）</w:t>
            </w:r>
            <w:r>
              <w:rPr>
                <w:rFonts w:hint="default" w:ascii="Times New Roman" w:hAnsi="Times New Roman" w:cs="Times New Roman"/>
                <w:b w:val="0"/>
                <w:bCs w:val="0"/>
                <w:color w:val="auto"/>
                <w:spacing w:val="0"/>
                <w:position w:val="0"/>
                <w:sz w:val="21"/>
                <w:szCs w:val="21"/>
                <w:lang w:eastAsia="zh-CN"/>
              </w:rPr>
              <w:t>；</w:t>
            </w:r>
          </w:p>
          <w:p w14:paraId="50F6D8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浓度不高于10mg/m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tc>
        <w:tc>
          <w:tcPr>
            <w:tcW w:w="4024" w:type="dxa"/>
            <w:tcBorders>
              <w:left w:val="single" w:color="auto" w:sz="4" w:space="0"/>
            </w:tcBorders>
            <w:vAlign w:val="center"/>
          </w:tcPr>
          <w:p w14:paraId="069FB25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同A级第1条要求；</w:t>
            </w:r>
          </w:p>
          <w:p w14:paraId="2EB40F2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同A级第2条要求；</w:t>
            </w:r>
          </w:p>
          <w:p w14:paraId="65DBA5F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生物质锅炉烟气PM、SO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w:t>
            </w:r>
            <w:r>
              <w:rPr>
                <w:rFonts w:hint="default"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35</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5</w:t>
            </w:r>
            <w:r>
              <w:rPr>
                <w:rFonts w:hint="default" w:ascii="Times New Roman" w:hAnsi="Times New Roman" w:eastAsia="宋体" w:cs="Times New Roman"/>
                <w:b w:val="0"/>
                <w:bCs w:val="0"/>
                <w:color w:val="auto"/>
                <w:spacing w:val="0"/>
                <w:position w:val="0"/>
                <w:sz w:val="21"/>
                <w:szCs w:val="21"/>
              </w:rPr>
              <w:t>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eastAsia="zh-CN"/>
              </w:rPr>
              <w:t>；</w:t>
            </w:r>
          </w:p>
          <w:p w14:paraId="1B35D1C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p w14:paraId="723FF0B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p>
        </w:tc>
        <w:tc>
          <w:tcPr>
            <w:tcW w:w="3664" w:type="dxa"/>
            <w:vAlign w:val="center"/>
          </w:tcPr>
          <w:p w14:paraId="20D2EC9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燃煤锅炉烟气PM、SO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、NOx浓度分别不高于30、200、200mg/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p>
          <w:p w14:paraId="563E140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燃油锅炉烟气PM、SO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、NOx浓度分别不高于30、100、200mg/</w:t>
            </w:r>
            <w:r>
              <w:rPr>
                <w:rFonts w:hint="default" w:ascii="Times New Roman" w:hAnsi="Times New Roman" w:cs="Times New Roman"/>
                <w:b w:val="0"/>
                <w:bCs w:val="0"/>
                <w:color w:val="auto"/>
                <w:spacing w:val="0"/>
                <w:position w:val="0"/>
                <w:sz w:val="21"/>
                <w:szCs w:val="21"/>
                <w:lang w:eastAsia="zh-CN"/>
              </w:rPr>
              <w:t>m³</w:t>
            </w:r>
            <w:r>
              <w:rPr>
                <w:rFonts w:hint="default" w:ascii="Times New Roman" w:hAnsi="Times New Roman" w:eastAsia="宋体" w:cs="Times New Roman"/>
                <w:b w:val="0"/>
                <w:bCs w:val="0"/>
                <w:color w:val="auto"/>
                <w:spacing w:val="0"/>
                <w:position w:val="0"/>
                <w:sz w:val="21"/>
                <w:szCs w:val="21"/>
              </w:rPr>
              <w:t>（基准氧含量：3.5%）；</w:t>
            </w:r>
          </w:p>
          <w:p w14:paraId="546A635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燃气锅炉烟气PM、SO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、NOx浓度分别不高于20、50、</w:t>
            </w:r>
            <w:r>
              <w:rPr>
                <w:rFonts w:hint="default" w:ascii="Times New Roman" w:hAnsi="Times New Roman" w:cs="Times New Roman"/>
                <w:b w:val="0"/>
                <w:bCs w:val="0"/>
                <w:color w:val="auto"/>
                <w:spacing w:val="0"/>
                <w:position w:val="0"/>
                <w:sz w:val="21"/>
                <w:szCs w:val="21"/>
                <w:lang w:val="en-US" w:eastAsia="zh-CN"/>
              </w:rPr>
              <w:t>50</w:t>
            </w:r>
            <w:r>
              <w:rPr>
                <w:rFonts w:hint="default" w:ascii="Times New Roman" w:hAnsi="Times New Roman" w:eastAsia="宋体" w:cs="Times New Roman"/>
                <w:b w:val="0"/>
                <w:bCs w:val="0"/>
                <w:color w:val="auto"/>
                <w:spacing w:val="0"/>
                <w:position w:val="0"/>
                <w:sz w:val="21"/>
                <w:szCs w:val="21"/>
              </w:rPr>
              <w:t>mg/</w:t>
            </w:r>
            <w:r>
              <w:rPr>
                <w:rFonts w:hint="default" w:ascii="Times New Roman" w:hAnsi="Times New Roman" w:cs="Times New Roman"/>
                <w:b w:val="0"/>
                <w:bCs w:val="0"/>
                <w:color w:val="auto"/>
                <w:spacing w:val="0"/>
                <w:position w:val="0"/>
                <w:sz w:val="21"/>
                <w:szCs w:val="21"/>
                <w:lang w:eastAsia="zh-CN"/>
              </w:rPr>
              <w:t>m³（65t/h及以下基准氧含量：</w:t>
            </w:r>
            <w:r>
              <w:rPr>
                <w:rFonts w:hint="default" w:ascii="Times New Roman" w:hAnsi="Times New Roman" w:cs="Times New Roman"/>
                <w:b w:val="0"/>
                <w:bCs w:val="0"/>
                <w:color w:val="auto"/>
                <w:spacing w:val="0"/>
                <w:position w:val="0"/>
                <w:sz w:val="21"/>
                <w:szCs w:val="21"/>
                <w:lang w:val="en-US" w:eastAsia="zh-CN"/>
              </w:rPr>
              <w:t>3.5</w:t>
            </w:r>
            <w:r>
              <w:rPr>
                <w:rFonts w:hint="default" w:ascii="Times New Roman" w:hAnsi="Times New Roman" w:cs="Times New Roman"/>
                <w:b w:val="0"/>
                <w:bCs w:val="0"/>
                <w:color w:val="auto"/>
                <w:spacing w:val="0"/>
                <w:position w:val="0"/>
                <w:sz w:val="21"/>
                <w:szCs w:val="21"/>
                <w:lang w:eastAsia="zh-CN"/>
              </w:rPr>
              <w:t>%；65t/h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3</w:t>
            </w:r>
            <w:r>
              <w:rPr>
                <w:rFonts w:hint="default" w:ascii="Times New Roman" w:hAnsi="Times New Roman" w:eastAsia="宋体" w:cs="Times New Roman"/>
                <w:b w:val="0"/>
                <w:bCs w:val="0"/>
                <w:color w:val="auto"/>
                <w:spacing w:val="0"/>
                <w:position w:val="0"/>
                <w:sz w:val="21"/>
                <w:szCs w:val="21"/>
              </w:rPr>
              <w:t>%）；</w:t>
            </w:r>
          </w:p>
          <w:p w14:paraId="7BB567A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4.</w:t>
            </w:r>
            <w:r>
              <w:rPr>
                <w:rFonts w:hint="default" w:ascii="Times New Roman" w:hAnsi="Times New Roman" w:eastAsia="宋体" w:cs="Times New Roman"/>
                <w:b w:val="0"/>
                <w:bCs w:val="0"/>
                <w:color w:val="auto"/>
                <w:spacing w:val="0"/>
                <w:position w:val="0"/>
                <w:sz w:val="21"/>
                <w:szCs w:val="21"/>
              </w:rPr>
              <w:t>生物质锅炉烟气PM、SO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w:t>
            </w:r>
            <w:r>
              <w:rPr>
                <w:rFonts w:hint="default"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4</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15</w:t>
            </w:r>
            <w:r>
              <w:rPr>
                <w:rFonts w:hint="default" w:ascii="Times New Roman" w:hAnsi="Times New Roman" w:eastAsia="宋体" w:cs="Times New Roman"/>
                <w:b w:val="0"/>
                <w:bCs w:val="0"/>
                <w:color w:val="auto"/>
                <w:spacing w:val="0"/>
                <w:position w:val="0"/>
                <w:sz w:val="21"/>
                <w:szCs w:val="21"/>
              </w:rPr>
              <w:t>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eastAsia="zh-CN"/>
              </w:rPr>
              <w:t>；</w:t>
            </w:r>
          </w:p>
          <w:p w14:paraId="31EA84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5.</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w:t>
            </w: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tc>
        <w:tc>
          <w:tcPr>
            <w:tcW w:w="1354" w:type="dxa"/>
            <w:vAlign w:val="center"/>
          </w:tcPr>
          <w:p w14:paraId="55698B4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3BA90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5" w:hRule="atLeast"/>
        </w:trPr>
        <w:tc>
          <w:tcPr>
            <w:tcW w:w="1486" w:type="dxa"/>
            <w:vAlign w:val="center"/>
          </w:tcPr>
          <w:p w14:paraId="26D732B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rPr>
              <w:t>监测监控水平</w:t>
            </w:r>
          </w:p>
        </w:tc>
        <w:tc>
          <w:tcPr>
            <w:tcW w:w="8245" w:type="dxa"/>
            <w:gridSpan w:val="2"/>
            <w:tcBorders>
              <w:right w:val="single" w:color="auto" w:sz="4" w:space="0"/>
            </w:tcBorders>
            <w:vAlign w:val="center"/>
          </w:tcPr>
          <w:p w14:paraId="4B51F787">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snapToGrid w:val="0"/>
                <w:color w:val="auto"/>
                <w:spacing w:val="0"/>
                <w:kern w:val="0"/>
                <w:position w:val="0"/>
                <w:sz w:val="21"/>
                <w:szCs w:val="21"/>
                <w:lang w:val="en-US" w:eastAsia="zh-CN" w:bidi="ar-SA"/>
              </w:rPr>
              <w:t>1.</w:t>
            </w:r>
            <w:r>
              <w:rPr>
                <w:rFonts w:hint="default" w:ascii="Times New Roman" w:hAnsi="Times New Roman" w:cs="Times New Roman"/>
                <w:b w:val="0"/>
                <w:bCs w:val="0"/>
                <w:color w:val="auto"/>
                <w:spacing w:val="0"/>
                <w:position w:val="0"/>
                <w:sz w:val="21"/>
                <w:szCs w:val="21"/>
                <w:lang w:val="en-US" w:eastAsia="zh-CN"/>
              </w:rPr>
              <w:t>重点排污单位及排污许可重点管理单位主要排放口均需安装CEMS（不含以电、余热蒸汽为热源的锅炉；按照排污许可要求设置监测参数），并按要求与省级主管部门联网，数据</w:t>
            </w:r>
            <w:r>
              <w:rPr>
                <w:rFonts w:hint="eastAsia" w:ascii="Times New Roman" w:hAnsi="Times New Roman" w:cs="Times New Roman"/>
                <w:b w:val="0"/>
                <w:bCs w:val="0"/>
                <w:color w:val="auto"/>
                <w:spacing w:val="0"/>
                <w:position w:val="0"/>
                <w:sz w:val="21"/>
                <w:szCs w:val="21"/>
                <w:lang w:val="en-US" w:eastAsia="zh-CN"/>
              </w:rPr>
              <w:t>至少要保存一年</w:t>
            </w:r>
            <w:r>
              <w:rPr>
                <w:rFonts w:hint="default" w:ascii="Times New Roman" w:hAnsi="Times New Roman" w:eastAsia="宋体" w:cs="Times New Roman"/>
                <w:b w:val="0"/>
                <w:bCs w:val="0"/>
                <w:color w:val="auto"/>
                <w:spacing w:val="0"/>
                <w:position w:val="0"/>
                <w:sz w:val="21"/>
                <w:szCs w:val="21"/>
              </w:rPr>
              <w:t>；</w:t>
            </w:r>
          </w:p>
          <w:p w14:paraId="2A96927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lang w:val="en-US" w:eastAsia="zh-CN"/>
              </w:rPr>
              <w:t>企业主要生产设施及环保设施安装分布式控制系统（DCS），记录企业环保设施运行及相关生产过程主要参数，数据</w:t>
            </w:r>
            <w:r>
              <w:rPr>
                <w:rFonts w:hint="eastAsia" w:ascii="Times New Roman" w:hAnsi="Times New Roman" w:cs="Times New Roman"/>
                <w:b w:val="0"/>
                <w:bCs w:val="0"/>
                <w:color w:val="auto"/>
                <w:spacing w:val="0"/>
                <w:position w:val="0"/>
                <w:sz w:val="21"/>
                <w:szCs w:val="21"/>
                <w:lang w:val="en-US" w:eastAsia="zh-CN"/>
              </w:rPr>
              <w:t>至少要保存五年</w:t>
            </w:r>
            <w:r>
              <w:rPr>
                <w:rFonts w:hint="default" w:ascii="Times New Roman" w:hAnsi="Times New Roman" w:cs="Times New Roman"/>
                <w:b w:val="0"/>
                <w:bCs w:val="0"/>
                <w:color w:val="auto"/>
                <w:spacing w:val="0"/>
                <w:position w:val="0"/>
                <w:sz w:val="21"/>
                <w:szCs w:val="21"/>
                <w:lang w:val="en-US" w:eastAsia="zh-CN"/>
              </w:rPr>
              <w:t>；</w:t>
            </w:r>
          </w:p>
          <w:p w14:paraId="1D2F1E95">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eastAsia="zh-CN"/>
              </w:rPr>
              <w:t>主要涉气生产装置及污染治理设施按要求安装用电监管设备，实现分表计电，用电监管数据按要求与省级主管部门</w:t>
            </w:r>
            <w:r>
              <w:rPr>
                <w:rFonts w:hint="eastAsia" w:ascii="Times New Roman" w:hAnsi="Times New Roman" w:cs="Times New Roman"/>
                <w:b w:val="0"/>
                <w:bCs w:val="0"/>
                <w:color w:val="auto"/>
                <w:spacing w:val="0"/>
                <w:position w:val="0"/>
                <w:sz w:val="21"/>
                <w:szCs w:val="21"/>
                <w:lang w:eastAsia="zh-CN"/>
              </w:rPr>
              <w:t>的用电</w:t>
            </w:r>
            <w:r>
              <w:rPr>
                <w:rFonts w:hint="default" w:ascii="Times New Roman" w:hAnsi="Times New Roman" w:cs="Times New Roman"/>
                <w:b w:val="0"/>
                <w:bCs w:val="0"/>
                <w:color w:val="auto"/>
                <w:spacing w:val="0"/>
                <w:position w:val="0"/>
                <w:sz w:val="21"/>
                <w:szCs w:val="21"/>
                <w:lang w:eastAsia="zh-CN"/>
              </w:rPr>
              <w:t>监管平台联网；</w:t>
            </w:r>
          </w:p>
          <w:p w14:paraId="5D9011C2">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eastAsia="宋体" w:cs="Times New Roman"/>
                <w:b w:val="0"/>
                <w:bCs w:val="0"/>
                <w:color w:val="auto"/>
                <w:spacing w:val="0"/>
                <w:position w:val="0"/>
                <w:sz w:val="21"/>
                <w:szCs w:val="21"/>
              </w:rPr>
              <w:t>厂区未安装在线监控的涉气生产设施主要投料口</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运输道路、堆场、堆棚、破碎、筛分、石材干法加工区、物料装卸等产尘点周边安装高清视频监控，视频监控数据保存6个月以上</w:t>
            </w:r>
            <w:r>
              <w:rPr>
                <w:rFonts w:hint="default" w:ascii="Times New Roman" w:hAnsi="Times New Roman" w:cs="Times New Roman"/>
                <w:b w:val="0"/>
                <w:bCs w:val="0"/>
                <w:color w:val="auto"/>
                <w:spacing w:val="0"/>
                <w:position w:val="0"/>
                <w:sz w:val="21"/>
                <w:szCs w:val="21"/>
                <w:lang w:eastAsia="zh-CN"/>
              </w:rPr>
              <w:t>；</w:t>
            </w:r>
          </w:p>
          <w:p w14:paraId="7A257F7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eastAsia="zh-CN"/>
              </w:rPr>
              <w:t>5.</w:t>
            </w:r>
            <w:r>
              <w:rPr>
                <w:rFonts w:hint="default" w:ascii="Times New Roman" w:hAnsi="Times New Roman" w:cs="Times New Roman"/>
                <w:b w:val="0"/>
                <w:bCs w:val="0"/>
                <w:color w:val="auto"/>
                <w:spacing w:val="0"/>
                <w:position w:val="0"/>
                <w:sz w:val="21"/>
                <w:szCs w:val="21"/>
                <w:lang w:eastAsia="zh-CN"/>
              </w:rPr>
              <w:t>厂界需安装颗粒物（PM</w:t>
            </w:r>
            <w:r>
              <w:rPr>
                <w:rFonts w:hint="default" w:ascii="Times New Roman" w:hAnsi="Times New Roman" w:cs="Times New Roman"/>
                <w:b w:val="0"/>
                <w:bCs w:val="0"/>
                <w:color w:val="auto"/>
                <w:spacing w:val="0"/>
                <w:position w:val="0"/>
                <w:sz w:val="21"/>
                <w:szCs w:val="21"/>
                <w:vertAlign w:val="subscript"/>
                <w:lang w:eastAsia="zh-CN"/>
              </w:rPr>
              <w:t>2.5</w:t>
            </w:r>
            <w:r>
              <w:rPr>
                <w:rFonts w:hint="default" w:ascii="Times New Roman" w:hAnsi="Times New Roman" w:cs="Times New Roman"/>
                <w:b w:val="0"/>
                <w:bCs w:val="0"/>
                <w:color w:val="auto"/>
                <w:spacing w:val="0"/>
                <w:position w:val="0"/>
                <w:sz w:val="21"/>
                <w:szCs w:val="21"/>
                <w:lang w:eastAsia="zh-CN"/>
              </w:rPr>
              <w:t>和PM</w:t>
            </w:r>
            <w:r>
              <w:rPr>
                <w:rFonts w:hint="default" w:ascii="Times New Roman" w:hAnsi="Times New Roman" w:cs="Times New Roman"/>
                <w:b w:val="0"/>
                <w:bCs w:val="0"/>
                <w:color w:val="auto"/>
                <w:spacing w:val="0"/>
                <w:position w:val="0"/>
                <w:sz w:val="21"/>
                <w:szCs w:val="21"/>
                <w:vertAlign w:val="subscript"/>
                <w:lang w:eastAsia="zh-CN"/>
              </w:rPr>
              <w:t>10</w:t>
            </w:r>
            <w:r>
              <w:rPr>
                <w:rFonts w:hint="default" w:ascii="Times New Roman" w:hAnsi="Times New Roman" w:cs="Times New Roman"/>
                <w:b w:val="0"/>
                <w:bCs w:val="0"/>
                <w:color w:val="auto"/>
                <w:spacing w:val="0"/>
                <w:position w:val="0"/>
                <w:sz w:val="21"/>
                <w:szCs w:val="21"/>
                <w:lang w:eastAsia="zh-CN"/>
              </w:rPr>
              <w:t>）无组织自动监控设施，并按要求与省级主管部门联网。</w:t>
            </w:r>
          </w:p>
        </w:tc>
        <w:tc>
          <w:tcPr>
            <w:tcW w:w="3664" w:type="dxa"/>
            <w:tcBorders>
              <w:left w:val="single" w:color="auto" w:sz="4" w:space="0"/>
            </w:tcBorders>
            <w:vAlign w:val="center"/>
          </w:tcPr>
          <w:p w14:paraId="115F571E">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cs="Times New Roman"/>
                <w:b w:val="0"/>
                <w:bCs w:val="0"/>
                <w:color w:val="auto"/>
                <w:spacing w:val="0"/>
                <w:position w:val="0"/>
                <w:sz w:val="21"/>
                <w:szCs w:val="21"/>
                <w:lang w:eastAsia="zh-CN"/>
              </w:rPr>
              <w:t>有组织排放口按生态环境部门要求安装CEMS，并按要求联网，数据</w:t>
            </w:r>
            <w:r>
              <w:rPr>
                <w:rFonts w:hint="eastAsia" w:ascii="Times New Roman" w:hAnsi="Times New Roman" w:cs="Times New Roman"/>
                <w:b w:val="0"/>
                <w:bCs w:val="0"/>
                <w:color w:val="auto"/>
                <w:spacing w:val="0"/>
                <w:position w:val="0"/>
                <w:sz w:val="21"/>
                <w:szCs w:val="21"/>
                <w:lang w:eastAsia="zh-CN"/>
              </w:rPr>
              <w:t>至少要保存一年</w:t>
            </w:r>
            <w:r>
              <w:rPr>
                <w:rFonts w:hint="default" w:ascii="Times New Roman" w:hAnsi="Times New Roman" w:cs="Times New Roman"/>
                <w:b w:val="0"/>
                <w:bCs w:val="0"/>
                <w:color w:val="auto"/>
                <w:spacing w:val="0"/>
                <w:position w:val="0"/>
                <w:sz w:val="21"/>
                <w:szCs w:val="21"/>
                <w:lang w:eastAsia="zh-CN"/>
              </w:rPr>
              <w:t>；</w:t>
            </w:r>
          </w:p>
          <w:p w14:paraId="1FCCE750">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cs="Times New Roman"/>
                <w:b w:val="0"/>
                <w:bCs w:val="0"/>
                <w:color w:val="auto"/>
                <w:spacing w:val="0"/>
                <w:position w:val="0"/>
                <w:sz w:val="21"/>
                <w:szCs w:val="21"/>
                <w:lang w:eastAsia="zh-CN"/>
              </w:rPr>
              <w:t>安装DCS/PLC系统、仪器仪表等装置，记录治理设施主要参数，数据保存一年以上；</w:t>
            </w:r>
          </w:p>
          <w:p w14:paraId="4CD4A251">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val="en-US" w:eastAsia="zh-CN"/>
              </w:rPr>
              <w:t>同B级第3条要求；</w:t>
            </w:r>
          </w:p>
          <w:p w14:paraId="1948DCCF">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cs="Times New Roman"/>
                <w:b w:val="0"/>
                <w:bCs w:val="0"/>
                <w:color w:val="auto"/>
                <w:spacing w:val="0"/>
                <w:position w:val="0"/>
                <w:sz w:val="21"/>
                <w:szCs w:val="21"/>
                <w:lang w:eastAsia="zh-CN"/>
              </w:rPr>
              <w:t>料场出入口等易产尘点，安装高清视频监控系统，相关数据保存6个月以上。</w:t>
            </w:r>
          </w:p>
        </w:tc>
        <w:tc>
          <w:tcPr>
            <w:tcW w:w="1354" w:type="dxa"/>
            <w:tcBorders>
              <w:left w:val="single" w:color="auto" w:sz="4" w:space="0"/>
            </w:tcBorders>
            <w:vAlign w:val="center"/>
          </w:tcPr>
          <w:p w14:paraId="20E016DD">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58ACE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486" w:type="dxa"/>
            <w:vMerge w:val="restart"/>
            <w:tcBorders>
              <w:right w:val="single" w:color="auto" w:sz="4" w:space="0"/>
            </w:tcBorders>
            <w:vAlign w:val="center"/>
          </w:tcPr>
          <w:p w14:paraId="5B2E9E3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环境管理水平</w:t>
            </w:r>
          </w:p>
        </w:tc>
        <w:tc>
          <w:tcPr>
            <w:tcW w:w="13263" w:type="dxa"/>
            <w:gridSpan w:val="4"/>
            <w:tcBorders>
              <w:left w:val="single" w:color="auto" w:sz="4" w:space="0"/>
            </w:tcBorders>
            <w:vAlign w:val="center"/>
          </w:tcPr>
          <w:p w14:paraId="5A68FFB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环保档案</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1</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环评批复文件；2</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排污许可证及季度、年度执行报告；3</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竣工验收文件；4</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废气治理设施运行管理规程；5</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一年内废气监测报告。</w:t>
            </w:r>
          </w:p>
        </w:tc>
      </w:tr>
      <w:tr w14:paraId="18C99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1486" w:type="dxa"/>
            <w:vMerge w:val="continue"/>
            <w:tcBorders>
              <w:right w:val="single" w:color="auto" w:sz="4" w:space="0"/>
            </w:tcBorders>
            <w:vAlign w:val="center"/>
          </w:tcPr>
          <w:p w14:paraId="2A4E496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p>
        </w:tc>
        <w:tc>
          <w:tcPr>
            <w:tcW w:w="8245" w:type="dxa"/>
            <w:gridSpan w:val="2"/>
            <w:tcBorders>
              <w:left w:val="single" w:color="auto" w:sz="4" w:space="0"/>
              <w:right w:val="single" w:color="auto" w:sz="4" w:space="0"/>
            </w:tcBorders>
            <w:vAlign w:val="center"/>
          </w:tcPr>
          <w:p w14:paraId="718A3EB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台账记录：1</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生产设施运行管理信息（生产时间、运行负荷、产品产量等）；2</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废气污染治理设施运行管理信息（除尘滤料更换量和时间、脱硫及脱硝剂添加量和时间等）；3</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监测记录信息（主要污染排放口废气排放记录（手工监测和在线监测）等）；4</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主要原辅材料消耗记录；5</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燃料（天然气）消耗记录</w:t>
            </w:r>
            <w:r>
              <w:rPr>
                <w:rFonts w:hint="default" w:ascii="Times New Roman" w:hAnsi="Times New Roman" w:cs="Times New Roman"/>
                <w:b w:val="0"/>
                <w:bCs w:val="0"/>
                <w:color w:val="auto"/>
                <w:spacing w:val="0"/>
                <w:position w:val="0"/>
                <w:sz w:val="21"/>
                <w:szCs w:val="21"/>
                <w:lang w:eastAsia="zh-CN"/>
              </w:rPr>
              <w:t>。</w:t>
            </w:r>
          </w:p>
        </w:tc>
        <w:tc>
          <w:tcPr>
            <w:tcW w:w="3664" w:type="dxa"/>
            <w:tcBorders>
              <w:left w:val="single" w:color="auto" w:sz="4" w:space="0"/>
            </w:tcBorders>
            <w:vAlign w:val="center"/>
          </w:tcPr>
          <w:p w14:paraId="49FCA9D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至少达到A级要求中1、2、3项。</w:t>
            </w:r>
          </w:p>
        </w:tc>
        <w:tc>
          <w:tcPr>
            <w:tcW w:w="1354" w:type="dxa"/>
            <w:tcBorders>
              <w:left w:val="single" w:color="auto" w:sz="4" w:space="0"/>
            </w:tcBorders>
            <w:vAlign w:val="center"/>
          </w:tcPr>
          <w:p w14:paraId="5EAB721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39583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Merge w:val="continue"/>
            <w:tcBorders>
              <w:right w:val="single" w:color="auto" w:sz="4" w:space="0"/>
            </w:tcBorders>
            <w:vAlign w:val="center"/>
          </w:tcPr>
          <w:p w14:paraId="322CA3B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p>
        </w:tc>
        <w:tc>
          <w:tcPr>
            <w:tcW w:w="8245" w:type="dxa"/>
            <w:gridSpan w:val="2"/>
            <w:tcBorders>
              <w:left w:val="single" w:color="auto" w:sz="4" w:space="0"/>
            </w:tcBorders>
            <w:vAlign w:val="center"/>
          </w:tcPr>
          <w:p w14:paraId="7206D42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cs="Times New Roman"/>
                <w:b w:val="0"/>
                <w:bCs w:val="0"/>
                <w:color w:val="auto"/>
                <w:spacing w:val="0"/>
                <w:position w:val="0"/>
                <w:sz w:val="21"/>
                <w:szCs w:val="21"/>
                <w:lang w:val="en-US" w:eastAsia="zh-CN"/>
              </w:rPr>
              <w:t>人员配置：设置环保部门，</w:t>
            </w:r>
            <w:r>
              <w:rPr>
                <w:rFonts w:hint="default" w:ascii="Times New Roman" w:hAnsi="Times New Roman" w:eastAsia="宋体" w:cs="Times New Roman"/>
                <w:b w:val="0"/>
                <w:bCs w:val="0"/>
                <w:color w:val="auto"/>
                <w:spacing w:val="0"/>
                <w:position w:val="0"/>
                <w:sz w:val="21"/>
                <w:szCs w:val="21"/>
              </w:rPr>
              <w:t>配备专职环保人员，并具备相应的环境管理能力（包括但不限于学历、培训、从业经验等）。</w:t>
            </w:r>
          </w:p>
        </w:tc>
        <w:tc>
          <w:tcPr>
            <w:tcW w:w="5018" w:type="dxa"/>
            <w:gridSpan w:val="2"/>
            <w:tcBorders>
              <w:left w:val="single" w:color="auto" w:sz="4" w:space="0"/>
            </w:tcBorders>
            <w:vAlign w:val="center"/>
          </w:tcPr>
          <w:p w14:paraId="56935F5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人员配置：配备专职环保人员，并具备相应的环境管理能力。</w:t>
            </w:r>
          </w:p>
        </w:tc>
      </w:tr>
      <w:tr w14:paraId="0817C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Align w:val="center"/>
          </w:tcPr>
          <w:p w14:paraId="2592B97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运输方式</w:t>
            </w:r>
          </w:p>
        </w:tc>
        <w:tc>
          <w:tcPr>
            <w:tcW w:w="4221" w:type="dxa"/>
            <w:tcBorders>
              <w:right w:val="single" w:color="auto" w:sz="4" w:space="0"/>
            </w:tcBorders>
            <w:vAlign w:val="center"/>
          </w:tcPr>
          <w:p w14:paraId="2D6D75B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矿石开采运输</w:t>
            </w:r>
            <w:r>
              <w:rPr>
                <w:rFonts w:hint="default" w:ascii="Times New Roman" w:hAnsi="Times New Roman" w:cs="Times New Roman"/>
                <w:b w:val="0"/>
                <w:bCs w:val="0"/>
                <w:color w:val="auto"/>
                <w:spacing w:val="0"/>
                <w:position w:val="0"/>
                <w:sz w:val="21"/>
                <w:szCs w:val="21"/>
                <w:lang w:val="en-US" w:eastAsia="zh-CN"/>
              </w:rPr>
              <w:t>全部</w:t>
            </w:r>
            <w:r>
              <w:rPr>
                <w:rFonts w:hint="default" w:ascii="Times New Roman" w:hAnsi="Times New Roman" w:eastAsia="宋体" w:cs="Times New Roman"/>
                <w:b w:val="0"/>
                <w:bCs w:val="0"/>
                <w:color w:val="auto"/>
                <w:spacing w:val="0"/>
                <w:position w:val="0"/>
                <w:sz w:val="21"/>
                <w:szCs w:val="21"/>
              </w:rPr>
              <w:t>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w:t>
            </w:r>
            <w:r>
              <w:rPr>
                <w:rFonts w:hint="default" w:ascii="Times New Roman" w:hAnsi="Times New Roman" w:cs="Times New Roman"/>
                <w:color w:val="auto"/>
                <w:lang w:eastAsia="zh-CN"/>
              </w:rPr>
              <w:t>；</w:t>
            </w:r>
          </w:p>
          <w:p w14:paraId="53B171B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b w:val="0"/>
                <w:bCs w:val="0"/>
                <w:color w:val="auto"/>
                <w:spacing w:val="0"/>
                <w:position w:val="0"/>
                <w:sz w:val="21"/>
                <w:szCs w:val="21"/>
                <w:lang w:val="en-US" w:eastAsia="zh-CN"/>
              </w:rPr>
              <w:t>厂内</w:t>
            </w:r>
            <w:r>
              <w:rPr>
                <w:rFonts w:hint="default" w:ascii="Times New Roman" w:hAnsi="Times New Roman" w:eastAsia="宋体" w:cs="Times New Roman"/>
                <w:b w:val="0"/>
                <w:bCs w:val="0"/>
                <w:color w:val="auto"/>
                <w:spacing w:val="0"/>
                <w:position w:val="0"/>
                <w:sz w:val="21"/>
                <w:szCs w:val="21"/>
              </w:rPr>
              <w:t>运输</w:t>
            </w:r>
            <w:r>
              <w:rPr>
                <w:rFonts w:hint="default" w:ascii="Times New Roman" w:hAnsi="Times New Roman" w:cs="Times New Roman"/>
                <w:b w:val="0"/>
                <w:bCs w:val="0"/>
                <w:color w:val="auto"/>
                <w:spacing w:val="0"/>
                <w:position w:val="0"/>
                <w:sz w:val="21"/>
                <w:szCs w:val="21"/>
                <w:lang w:val="en-US" w:eastAsia="zh-CN"/>
              </w:rPr>
              <w:t>全部使用</w:t>
            </w:r>
            <w:r>
              <w:rPr>
                <w:rFonts w:hint="default" w:ascii="Times New Roman" w:hAnsi="Times New Roman" w:eastAsia="宋体" w:cs="Times New Roman"/>
                <w:b w:val="0"/>
                <w:bCs w:val="0"/>
                <w:color w:val="auto"/>
                <w:spacing w:val="0"/>
                <w:position w:val="0"/>
                <w:sz w:val="21"/>
                <w:szCs w:val="21"/>
              </w:rPr>
              <w:t>纯电</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氢燃料电池车辆；</w:t>
            </w:r>
          </w:p>
          <w:p w14:paraId="3C1D55F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eastAsia="zh-CN"/>
              </w:rPr>
              <w:t>厂内非道路移动机械</w:t>
            </w:r>
            <w:r>
              <w:rPr>
                <w:rFonts w:hint="eastAsia" w:ascii="Times New Roman" w:hAnsi="Times New Roman" w:cs="Times New Roman"/>
                <w:b w:val="0"/>
                <w:bCs w:val="0"/>
                <w:color w:val="auto"/>
                <w:spacing w:val="0"/>
                <w:position w:val="0"/>
                <w:sz w:val="21"/>
                <w:szCs w:val="21"/>
                <w:lang w:eastAsia="zh-CN"/>
              </w:rPr>
              <w:t>全部</w:t>
            </w:r>
            <w:r>
              <w:rPr>
                <w:rFonts w:hint="default" w:ascii="Times New Roman" w:hAnsi="Times New Roman" w:cs="Times New Roman"/>
                <w:b w:val="0"/>
                <w:bCs w:val="0"/>
                <w:color w:val="auto"/>
                <w:spacing w:val="0"/>
                <w:position w:val="0"/>
                <w:sz w:val="21"/>
                <w:szCs w:val="21"/>
                <w:lang w:eastAsia="zh-CN"/>
              </w:rPr>
              <w:t>达到国四及以上排放标准或使用纯电、氢燃料电池机械</w:t>
            </w:r>
            <w:r>
              <w:rPr>
                <w:rFonts w:hint="default" w:ascii="Times New Roman" w:hAnsi="Times New Roman" w:eastAsia="宋体" w:cs="Times New Roman"/>
                <w:b w:val="0"/>
                <w:bCs w:val="0"/>
                <w:color w:val="auto"/>
                <w:spacing w:val="0"/>
                <w:position w:val="0"/>
                <w:sz w:val="21"/>
                <w:szCs w:val="21"/>
              </w:rPr>
              <w:t>。</w:t>
            </w:r>
          </w:p>
        </w:tc>
        <w:tc>
          <w:tcPr>
            <w:tcW w:w="4024" w:type="dxa"/>
            <w:tcBorders>
              <w:left w:val="single" w:color="auto" w:sz="4" w:space="0"/>
              <w:right w:val="single" w:color="auto" w:sz="4" w:space="0"/>
            </w:tcBorders>
            <w:vAlign w:val="center"/>
          </w:tcPr>
          <w:p w14:paraId="2D7AD27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矿石开采运输采用清洁方式（铁路、水路、管道、管状带式输送机、皮带通廊等）、国六及以上排放标准重型载货车辆、纯电或氢燃料电池车辆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运输比例不低于80%，其他车辆达到国五排放标准</w:t>
            </w:r>
            <w:r>
              <w:rPr>
                <w:rFonts w:hint="default" w:ascii="Times New Roman" w:hAnsi="Times New Roman" w:eastAsia="宋体" w:cs="Times New Roman"/>
                <w:b w:val="0"/>
                <w:bCs w:val="0"/>
                <w:color w:val="auto"/>
                <w:spacing w:val="0"/>
                <w:position w:val="0"/>
                <w:sz w:val="21"/>
                <w:szCs w:val="21"/>
              </w:rPr>
              <w:t>；</w:t>
            </w:r>
          </w:p>
          <w:p w14:paraId="097781D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b w:val="0"/>
                <w:bCs w:val="0"/>
                <w:color w:val="auto"/>
                <w:spacing w:val="0"/>
                <w:position w:val="0"/>
                <w:sz w:val="21"/>
                <w:szCs w:val="21"/>
                <w:lang w:val="en-US" w:eastAsia="zh-CN"/>
              </w:rPr>
              <w:t>厂内</w:t>
            </w:r>
            <w:r>
              <w:rPr>
                <w:rFonts w:hint="default" w:ascii="Times New Roman" w:hAnsi="Times New Roman" w:eastAsia="宋体" w:cs="Times New Roman"/>
                <w:b w:val="0"/>
                <w:bCs w:val="0"/>
                <w:color w:val="auto"/>
                <w:spacing w:val="0"/>
                <w:position w:val="0"/>
                <w:sz w:val="21"/>
                <w:szCs w:val="21"/>
              </w:rPr>
              <w:t>运输</w:t>
            </w:r>
            <w:r>
              <w:rPr>
                <w:rFonts w:hint="default" w:ascii="Times New Roman" w:hAnsi="Times New Roman" w:cs="Times New Roman"/>
                <w:b w:val="0"/>
                <w:bCs w:val="0"/>
                <w:color w:val="auto"/>
                <w:spacing w:val="0"/>
                <w:position w:val="0"/>
                <w:sz w:val="21"/>
                <w:szCs w:val="21"/>
                <w:lang w:val="en-US" w:eastAsia="zh-CN"/>
              </w:rPr>
              <w:t>车辆达到国六及以上排放标准或使用纯电、氢燃料电池车辆比例不低于80%，其他车辆达到国五排放标准</w:t>
            </w:r>
            <w:r>
              <w:rPr>
                <w:rFonts w:hint="default" w:ascii="Times New Roman" w:hAnsi="Times New Roman" w:eastAsia="宋体" w:cs="Times New Roman"/>
                <w:b w:val="0"/>
                <w:bCs w:val="0"/>
                <w:color w:val="auto"/>
                <w:spacing w:val="0"/>
                <w:position w:val="0"/>
                <w:sz w:val="21"/>
                <w:szCs w:val="21"/>
              </w:rPr>
              <w:t>；</w:t>
            </w:r>
          </w:p>
          <w:p w14:paraId="5F24E42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color w:val="auto"/>
                <w:sz w:val="21"/>
                <w:szCs w:val="21"/>
              </w:rPr>
              <w:t>厂内非道路移动机械达到国四及以上排放标准或使用</w:t>
            </w:r>
            <w:r>
              <w:rPr>
                <w:rFonts w:hint="default" w:ascii="Times New Roman" w:hAnsi="Times New Roman" w:cs="Times New Roman"/>
                <w:b w:val="0"/>
                <w:bCs w:val="0"/>
                <w:color w:val="auto"/>
                <w:spacing w:val="0"/>
                <w:position w:val="0"/>
                <w:sz w:val="21"/>
                <w:szCs w:val="21"/>
                <w:lang w:val="en-US" w:eastAsia="zh-CN"/>
              </w:rPr>
              <w:t>纯电、氢燃料电池</w:t>
            </w:r>
            <w:r>
              <w:rPr>
                <w:rFonts w:hint="default" w:ascii="Times New Roman" w:hAnsi="Times New Roman" w:cs="Times New Roman"/>
                <w:color w:val="auto"/>
                <w:sz w:val="21"/>
                <w:szCs w:val="21"/>
              </w:rPr>
              <w:t>机械比例不低于</w:t>
            </w:r>
            <w:r>
              <w:rPr>
                <w:rFonts w:hint="default" w:ascii="Times New Roman" w:hAnsi="Times New Roman" w:cs="Times New Roman"/>
                <w:color w:val="auto"/>
                <w:sz w:val="21"/>
                <w:szCs w:val="21"/>
                <w:lang w:val="en-US" w:eastAsia="zh-CN"/>
              </w:rPr>
              <w:t>8</w:t>
            </w:r>
            <w:r>
              <w:rPr>
                <w:rFonts w:hint="default" w:ascii="Times New Roman" w:hAnsi="Times New Roman" w:cs="Times New Roman"/>
                <w:color w:val="auto"/>
                <w:sz w:val="21"/>
                <w:szCs w:val="21"/>
              </w:rPr>
              <w:t>0%，其他达到国三排放标准</w:t>
            </w:r>
            <w:r>
              <w:rPr>
                <w:rFonts w:hint="default" w:ascii="Times New Roman" w:hAnsi="Times New Roman" w:eastAsia="宋体" w:cs="Times New Roman"/>
                <w:b w:val="0"/>
                <w:bCs w:val="0"/>
                <w:color w:val="auto"/>
                <w:spacing w:val="0"/>
                <w:position w:val="0"/>
                <w:sz w:val="21"/>
                <w:szCs w:val="21"/>
              </w:rPr>
              <w:t>。</w:t>
            </w:r>
          </w:p>
        </w:tc>
        <w:tc>
          <w:tcPr>
            <w:tcW w:w="3664" w:type="dxa"/>
            <w:tcBorders>
              <w:left w:val="single" w:color="auto" w:sz="4" w:space="0"/>
            </w:tcBorders>
            <w:vAlign w:val="center"/>
          </w:tcPr>
          <w:p w14:paraId="6183BA7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矿石开采运输采用清洁方式（铁路、水路、管道、管状带式输送机、皮带通廊等）、国六及以上排放标准重型载货车辆、纯电或氢燃料电池车辆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运输比例不低于50%，其他车辆达到国四排放标准；</w:t>
            </w:r>
          </w:p>
          <w:p w14:paraId="74F1DEA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color w:val="auto"/>
                <w:sz w:val="21"/>
                <w:szCs w:val="21"/>
              </w:rPr>
              <w:t>厂内运输车辆达到国</w:t>
            </w:r>
            <w:r>
              <w:rPr>
                <w:rFonts w:hint="default" w:ascii="Times New Roman" w:hAnsi="Times New Roman" w:cs="Times New Roman"/>
                <w:color w:val="auto"/>
                <w:sz w:val="21"/>
                <w:szCs w:val="21"/>
                <w:lang w:val="en-US" w:eastAsia="zh-CN"/>
              </w:rPr>
              <w:t>六</w:t>
            </w:r>
            <w:r>
              <w:rPr>
                <w:rFonts w:hint="default" w:ascii="Times New Roman" w:hAnsi="Times New Roman" w:cs="Times New Roman"/>
                <w:color w:val="auto"/>
                <w:sz w:val="21"/>
                <w:szCs w:val="21"/>
              </w:rPr>
              <w:t>及以上排放标准或使用</w:t>
            </w:r>
            <w:r>
              <w:rPr>
                <w:rFonts w:hint="default" w:ascii="Times New Roman" w:hAnsi="Times New Roman" w:cs="Times New Roman"/>
                <w:color w:val="auto"/>
                <w:sz w:val="21"/>
                <w:szCs w:val="21"/>
                <w:lang w:val="en-US" w:eastAsia="zh-CN"/>
              </w:rPr>
              <w:t>纯电、氢燃料电池车辆</w:t>
            </w:r>
            <w:r>
              <w:rPr>
                <w:rFonts w:hint="default" w:ascii="Times New Roman" w:hAnsi="Times New Roman" w:cs="Times New Roman"/>
                <w:color w:val="auto"/>
                <w:sz w:val="21"/>
                <w:szCs w:val="21"/>
              </w:rPr>
              <w:t>比例不低于</w:t>
            </w:r>
            <w:r>
              <w:rPr>
                <w:rFonts w:hint="default"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0%，其他车辆达到国四排放标准；</w:t>
            </w:r>
          </w:p>
          <w:p w14:paraId="3DEC592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color w:val="auto"/>
                <w:sz w:val="21"/>
                <w:szCs w:val="21"/>
                <w:lang w:eastAsia="zh-CN"/>
              </w:rPr>
              <w:t>3.</w:t>
            </w:r>
            <w:r>
              <w:rPr>
                <w:rFonts w:hint="default" w:ascii="Times New Roman" w:hAnsi="Times New Roman" w:cs="Times New Roman"/>
                <w:color w:val="auto"/>
                <w:sz w:val="21"/>
                <w:szCs w:val="21"/>
              </w:rPr>
              <w:t>厂内非道路移动机械达到国</w:t>
            </w:r>
            <w:r>
              <w:rPr>
                <w:rFonts w:hint="default" w:ascii="Times New Roman" w:hAnsi="Times New Roman" w:cs="Times New Roman"/>
                <w:color w:val="auto"/>
                <w:sz w:val="21"/>
                <w:szCs w:val="21"/>
                <w:lang w:val="en-US" w:eastAsia="zh-CN"/>
              </w:rPr>
              <w:t>四</w:t>
            </w:r>
            <w:r>
              <w:rPr>
                <w:rFonts w:hint="default" w:ascii="Times New Roman" w:hAnsi="Times New Roman" w:cs="Times New Roman"/>
                <w:color w:val="auto"/>
                <w:sz w:val="21"/>
                <w:szCs w:val="21"/>
              </w:rPr>
              <w:t>及以上排放标准或使用</w:t>
            </w:r>
            <w:r>
              <w:rPr>
                <w:rFonts w:hint="default" w:ascii="Times New Roman" w:hAnsi="Times New Roman" w:cs="Times New Roman"/>
                <w:color w:val="auto"/>
                <w:sz w:val="21"/>
                <w:szCs w:val="21"/>
                <w:lang w:val="en-US" w:eastAsia="zh-CN"/>
              </w:rPr>
              <w:t>纯电、氢燃料电池机械比例不低于50%</w:t>
            </w:r>
            <w:r>
              <w:rPr>
                <w:rFonts w:hint="default" w:ascii="Times New Roman" w:hAnsi="Times New Roman" w:cs="Times New Roman"/>
                <w:color w:val="auto"/>
                <w:sz w:val="21"/>
                <w:szCs w:val="21"/>
                <w:highlight w:val="none"/>
              </w:rPr>
              <w:t>。</w:t>
            </w:r>
          </w:p>
        </w:tc>
        <w:tc>
          <w:tcPr>
            <w:tcW w:w="1354" w:type="dxa"/>
            <w:tcBorders>
              <w:left w:val="single" w:color="auto" w:sz="4" w:space="0"/>
            </w:tcBorders>
            <w:vAlign w:val="center"/>
          </w:tcPr>
          <w:p w14:paraId="1DE0674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44062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Align w:val="center"/>
          </w:tcPr>
          <w:p w14:paraId="7E0CE68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运输监管</w:t>
            </w:r>
          </w:p>
        </w:tc>
        <w:tc>
          <w:tcPr>
            <w:tcW w:w="8245" w:type="dxa"/>
            <w:gridSpan w:val="2"/>
            <w:tcBorders>
              <w:right w:val="single" w:color="auto" w:sz="4" w:space="0"/>
            </w:tcBorders>
            <w:vAlign w:val="center"/>
          </w:tcPr>
          <w:p w14:paraId="5FBBC91A">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参照《重污染天气重点行业移动源应急管理技术指南》建立门禁视频监控系统和电子台账，门禁视频监控系统与省级移动源监管平台联网。</w:t>
            </w:r>
          </w:p>
        </w:tc>
        <w:tc>
          <w:tcPr>
            <w:tcW w:w="5018" w:type="dxa"/>
            <w:gridSpan w:val="2"/>
            <w:tcBorders>
              <w:left w:val="single" w:color="auto" w:sz="4" w:space="0"/>
            </w:tcBorders>
            <w:vAlign w:val="center"/>
          </w:tcPr>
          <w:p w14:paraId="71FC306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未达到B级要求。</w:t>
            </w:r>
          </w:p>
        </w:tc>
      </w:tr>
      <w:tr w14:paraId="4F617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749" w:type="dxa"/>
            <w:gridSpan w:val="5"/>
            <w:vAlign w:val="center"/>
          </w:tcPr>
          <w:p w14:paraId="7B22C0E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left"/>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备注</w:t>
            </w:r>
            <w:r>
              <w:rPr>
                <w:rFonts w:hint="default" w:ascii="Times New Roman" w:hAnsi="Times New Roman" w:cs="Times New Roman"/>
                <w:b w:val="0"/>
                <w:bCs w:val="0"/>
                <w:color w:val="auto"/>
                <w:spacing w:val="0"/>
                <w:position w:val="0"/>
                <w:sz w:val="21"/>
                <w:szCs w:val="21"/>
                <w:lang w:val="en-US" w:eastAsia="zh-CN"/>
              </w:rPr>
              <w:t xml:space="preserve">   </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湿法</w:t>
            </w:r>
            <w:r>
              <w:rPr>
                <w:rFonts w:hint="default" w:ascii="Times New Roman" w:hAnsi="Times New Roman" w:eastAsia="宋体" w:cs="Times New Roman"/>
                <w:b w:val="0"/>
                <w:bCs w:val="0"/>
                <w:color w:val="auto"/>
                <w:spacing w:val="0"/>
                <w:position w:val="0"/>
                <w:sz w:val="21"/>
                <w:szCs w:val="21"/>
                <w:shd w:val="clear" w:color="auto" w:fill="auto"/>
              </w:rPr>
              <w:t>切割、打磨、雕刻、抛光</w:t>
            </w:r>
            <w:r>
              <w:rPr>
                <w:rFonts w:hint="default" w:ascii="Times New Roman" w:hAnsi="Times New Roman" w:cs="Times New Roman"/>
                <w:b w:val="0"/>
                <w:bCs w:val="0"/>
                <w:color w:val="auto"/>
                <w:spacing w:val="0"/>
                <w:position w:val="0"/>
                <w:sz w:val="21"/>
                <w:szCs w:val="21"/>
                <w:shd w:val="clear" w:color="auto" w:fill="auto"/>
                <w:lang w:val="en-US" w:eastAsia="zh-CN"/>
              </w:rPr>
              <w:t>作业指以清水为介质进行相关作业，作业过程中持续向作业接触点喷射介质，不含采用简易喷淋抑尘的干式作业。</w:t>
            </w:r>
          </w:p>
          <w:p w14:paraId="343D802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right="42" w:rightChars="20" w:firstLine="630" w:firstLineChars="300"/>
              <w:jc w:val="left"/>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】：采用纯生物质锅炉、炉窑，在SO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稳定达到排放限值情况下可不采用脱硫工艺</w:t>
            </w:r>
            <w:r>
              <w:rPr>
                <w:rFonts w:hint="default" w:ascii="Times New Roman" w:hAnsi="Times New Roman" w:cs="Times New Roman"/>
                <w:b w:val="0"/>
                <w:bCs w:val="0"/>
                <w:color w:val="auto"/>
                <w:spacing w:val="0"/>
                <w:position w:val="0"/>
                <w:sz w:val="21"/>
                <w:szCs w:val="21"/>
                <w:lang w:eastAsia="zh-CN"/>
              </w:rPr>
              <w:t>。</w:t>
            </w:r>
          </w:p>
        </w:tc>
      </w:tr>
    </w:tbl>
    <w:p w14:paraId="79C6B7D6">
      <w:pPr>
        <w:spacing w:line="197" w:lineRule="exact"/>
        <w:rPr>
          <w:rFonts w:hint="default" w:ascii="Times New Roman" w:hAnsi="Times New Roman" w:cs="Times New Roman"/>
          <w:color w:val="auto"/>
          <w:sz w:val="17"/>
          <w:szCs w:val="17"/>
        </w:rPr>
        <w:sectPr>
          <w:footerReference r:id="rId9" w:type="default"/>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5479D3E9">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color w:val="auto"/>
          <w:sz w:val="30"/>
          <w:szCs w:val="30"/>
        </w:rPr>
      </w:pPr>
      <w:bookmarkStart w:id="11" w:name="_Toc21039"/>
      <w:bookmarkStart w:id="12" w:name="_Toc25503"/>
      <w:r>
        <w:rPr>
          <w:rFonts w:hint="default" w:ascii="Times New Roman" w:hAnsi="Times New Roman" w:eastAsia="楷体" w:cs="Times New Roman"/>
          <w:b/>
          <w:color w:val="auto"/>
          <w:sz w:val="30"/>
          <w:szCs w:val="30"/>
        </w:rPr>
        <w:t>（五）减排措施</w:t>
      </w:r>
      <w:bookmarkEnd w:id="11"/>
      <w:bookmarkEnd w:id="12"/>
    </w:p>
    <w:p w14:paraId="2A9276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1.</w:t>
      </w:r>
      <w:r>
        <w:rPr>
          <w:rFonts w:hint="default" w:ascii="Times New Roman" w:hAnsi="Times New Roman" w:eastAsia="宋体" w:cs="Times New Roman"/>
          <w:b/>
          <w:bCs/>
          <w:color w:val="auto"/>
          <w:spacing w:val="-2"/>
          <w:sz w:val="28"/>
          <w:szCs w:val="28"/>
        </w:rPr>
        <w:t>A级企业</w:t>
      </w:r>
    </w:p>
    <w:p w14:paraId="7BD3F3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lang w:eastAsia="zh-CN"/>
        </w:rPr>
        <w:t>鼓励结合实际，自主采取减排措施，确保重污染天气预警期间污染物排放量只降不增。</w:t>
      </w:r>
    </w:p>
    <w:p w14:paraId="387ADB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2.</w:t>
      </w:r>
      <w:r>
        <w:rPr>
          <w:rFonts w:hint="default" w:ascii="Times New Roman" w:hAnsi="Times New Roman" w:eastAsia="宋体" w:cs="Times New Roman"/>
          <w:b/>
          <w:bCs/>
          <w:color w:val="auto"/>
          <w:spacing w:val="-2"/>
          <w:sz w:val="28"/>
          <w:szCs w:val="28"/>
        </w:rPr>
        <w:t>B级企业</w:t>
      </w:r>
    </w:p>
    <w:p w14:paraId="55E2D8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黄色预警期间：矿石开采行业未通过绿色矿山验收的企业停止露天开采；原则上砂石运输车辆禁止上路行驶（含有保障任务的除外）；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及以下重型载货车辆进行运输，停止使用国三及以下非道路移动机械</w:t>
      </w:r>
      <w:r>
        <w:rPr>
          <w:rFonts w:hint="default" w:ascii="Times New Roman" w:hAnsi="Times New Roman" w:eastAsia="宋体" w:cs="Times New Roman"/>
          <w:color w:val="auto"/>
          <w:spacing w:val="-2"/>
          <w:sz w:val="28"/>
          <w:szCs w:val="28"/>
        </w:rPr>
        <w:t>。</w:t>
      </w:r>
    </w:p>
    <w:p w14:paraId="1DCD37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橙色预警期间：矿石开采行业停止露天开采，通过绿色矿山验收的企业破碎、筛分工序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未通过绿色矿山验收的企业破碎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筛分工序停产；选矿行业、石材加工行业破碎、筛分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锯解</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干式裁切等涉气工序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50%；煤炭开采与洗选企业开采工序停产</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筛分、破碎等工序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559198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红色预警期间：矿石（煤炭）开采行业停止露天开采、破碎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筛分作业；选矿行业、石材加工行业破碎、筛分、锯解、磨抛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干式裁切等涉气工序停产；煤炭洗选筛分、破碎等工序停产；原则上砂石运输车辆禁止上路行驶（含有保障任务的除外）；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6E9A5B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3.</w:t>
      </w:r>
      <w:r>
        <w:rPr>
          <w:rFonts w:hint="default" w:ascii="Times New Roman" w:hAnsi="Times New Roman" w:eastAsia="宋体" w:cs="Times New Roman"/>
          <w:b/>
          <w:bCs/>
          <w:color w:val="auto"/>
          <w:spacing w:val="-2"/>
          <w:sz w:val="28"/>
          <w:szCs w:val="28"/>
        </w:rPr>
        <w:t>C级企业</w:t>
      </w:r>
    </w:p>
    <w:p w14:paraId="6BAEF8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黄色预警期间：矿石（煤炭）开采行业停止露天开采，破碎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筛分工序停产50%</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选矿行业、石材加工行业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锯解、磨抛、干式裁切等涉气工序停产；原则上砂石运输车辆禁止上路行驶（含有保障任务的除外）；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04D473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橙色及以上预警期间：矿石（煤炭）开采行业停止露天开采</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筛分作业；选矿行业、石材加工行业破碎、筛分、锯解</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湿式裁切工序</w:t>
      </w:r>
      <w:r>
        <w:rPr>
          <w:rFonts w:hint="default" w:ascii="Times New Roman" w:hAnsi="Times New Roman" w:eastAsia="宋体" w:cs="Times New Roman"/>
          <w:color w:val="auto"/>
          <w:spacing w:val="-2"/>
          <w:sz w:val="28"/>
          <w:szCs w:val="28"/>
          <w:lang w:val="en-US"/>
        </w:rPr>
        <w:t>停</w:t>
      </w:r>
      <w:r>
        <w:rPr>
          <w:rFonts w:hint="default" w:ascii="Times New Roman" w:hAnsi="Times New Roman" w:eastAsia="宋体" w:cs="Times New Roman"/>
          <w:color w:val="auto"/>
          <w:spacing w:val="-2"/>
          <w:sz w:val="28"/>
          <w:szCs w:val="28"/>
        </w:rPr>
        <w:t>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等涉气工序停产；煤炭洗选筛分、破碎等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79FB38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4.</w:t>
      </w:r>
      <w:r>
        <w:rPr>
          <w:rFonts w:hint="default" w:ascii="Times New Roman" w:hAnsi="Times New Roman" w:eastAsia="宋体" w:cs="Times New Roman"/>
          <w:b/>
          <w:bCs/>
          <w:color w:val="auto"/>
          <w:spacing w:val="-2"/>
          <w:sz w:val="28"/>
          <w:szCs w:val="28"/>
        </w:rPr>
        <w:t>D级企业</w:t>
      </w:r>
    </w:p>
    <w:p w14:paraId="39566F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黄色及以上预警期间：</w:t>
      </w:r>
      <w:r>
        <w:rPr>
          <w:rFonts w:hint="default" w:ascii="Times New Roman" w:hAnsi="Times New Roman" w:eastAsia="宋体" w:cs="Times New Roman"/>
          <w:color w:val="auto"/>
          <w:spacing w:val="-2"/>
          <w:sz w:val="28"/>
          <w:szCs w:val="28"/>
          <w:lang w:val="en-US" w:eastAsia="zh-CN"/>
        </w:rPr>
        <w:t>停产</w:t>
      </w:r>
      <w:r>
        <w:rPr>
          <w:rFonts w:hint="default" w:ascii="Times New Roman" w:hAnsi="Times New Roman" w:eastAsia="宋体" w:cs="Times New Roman"/>
          <w:color w:val="auto"/>
          <w:spacing w:val="-2"/>
          <w:sz w:val="28"/>
          <w:szCs w:val="28"/>
        </w:rPr>
        <w:t>；停止除纯电、氢燃料电池以外的运输车辆和非道路移动机械。</w:t>
      </w:r>
    </w:p>
    <w:p w14:paraId="4C92FEF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color w:val="auto"/>
          <w:sz w:val="30"/>
          <w:szCs w:val="30"/>
        </w:rPr>
      </w:pPr>
      <w:bookmarkStart w:id="13" w:name="_Toc26238"/>
      <w:bookmarkStart w:id="14" w:name="_Toc22392"/>
      <w:r>
        <w:rPr>
          <w:rFonts w:hint="default" w:ascii="Times New Roman" w:hAnsi="Times New Roman" w:eastAsia="楷体" w:cs="Times New Roman"/>
          <w:b/>
          <w:color w:val="auto"/>
          <w:sz w:val="30"/>
          <w:szCs w:val="30"/>
          <w:lang w:eastAsia="zh-CN"/>
        </w:rPr>
        <w:t>（</w:t>
      </w:r>
      <w:r>
        <w:rPr>
          <w:rFonts w:hint="default" w:ascii="Times New Roman" w:hAnsi="Times New Roman" w:eastAsia="楷体" w:cs="Times New Roman"/>
          <w:b/>
          <w:color w:val="auto"/>
          <w:sz w:val="30"/>
          <w:szCs w:val="30"/>
        </w:rPr>
        <w:t>六</w:t>
      </w:r>
      <w:r>
        <w:rPr>
          <w:rFonts w:hint="default" w:ascii="Times New Roman" w:hAnsi="Times New Roman" w:eastAsia="楷体" w:cs="Times New Roman"/>
          <w:b/>
          <w:color w:val="auto"/>
          <w:sz w:val="30"/>
          <w:szCs w:val="30"/>
          <w:lang w:eastAsia="zh-CN"/>
        </w:rPr>
        <w:t>）</w:t>
      </w:r>
      <w:r>
        <w:rPr>
          <w:rFonts w:hint="default" w:ascii="Times New Roman" w:hAnsi="Times New Roman" w:eastAsia="楷体" w:cs="Times New Roman"/>
          <w:b/>
          <w:color w:val="auto"/>
          <w:sz w:val="30"/>
          <w:szCs w:val="30"/>
        </w:rPr>
        <w:t>核查方法</w:t>
      </w:r>
      <w:bookmarkEnd w:id="13"/>
      <w:bookmarkEnd w:id="14"/>
    </w:p>
    <w:p w14:paraId="7219CC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color w:val="auto"/>
          <w:spacing w:val="-2"/>
          <w:sz w:val="28"/>
          <w:szCs w:val="28"/>
        </w:rPr>
      </w:pPr>
      <w:r>
        <w:rPr>
          <w:rFonts w:hint="eastAsia" w:ascii="Times New Roman" w:hAnsi="Times New Roman" w:eastAsia="宋体" w:cs="Times New Roman"/>
          <w:b/>
          <w:bCs/>
          <w:color w:val="auto"/>
          <w:spacing w:val="-2"/>
          <w:sz w:val="28"/>
          <w:szCs w:val="28"/>
          <w:lang w:eastAsia="zh-CN"/>
        </w:rPr>
        <w:t>1.</w:t>
      </w:r>
      <w:r>
        <w:rPr>
          <w:rFonts w:hint="default" w:ascii="Times New Roman" w:hAnsi="Times New Roman" w:eastAsia="宋体" w:cs="Times New Roman"/>
          <w:b/>
          <w:bCs/>
          <w:color w:val="auto"/>
          <w:spacing w:val="-2"/>
          <w:sz w:val="28"/>
          <w:szCs w:val="28"/>
        </w:rPr>
        <w:t>电量分析</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从电力平台调取企业用电量情况</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分析历史预警期间电量变化，比对采取减排措施期间的用电量是否有明显下降趋势，初步判断企业未按规定落实相应应急减排措施。上述判断应结合现场核查</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台账核查等方式，做最终判断。</w:t>
      </w:r>
    </w:p>
    <w:p w14:paraId="64700C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color w:val="auto"/>
          <w:spacing w:val="-2"/>
          <w:sz w:val="28"/>
          <w:szCs w:val="28"/>
        </w:rPr>
      </w:pPr>
      <w:r>
        <w:rPr>
          <w:rFonts w:hint="eastAsia" w:ascii="Times New Roman" w:hAnsi="Times New Roman" w:eastAsia="宋体" w:cs="Times New Roman"/>
          <w:b/>
          <w:bCs/>
          <w:color w:val="auto"/>
          <w:spacing w:val="-2"/>
          <w:sz w:val="28"/>
          <w:szCs w:val="28"/>
          <w:lang w:eastAsia="zh-CN"/>
        </w:rPr>
        <w:t>2.</w:t>
      </w:r>
      <w:r>
        <w:rPr>
          <w:rFonts w:hint="default" w:ascii="Times New Roman" w:hAnsi="Times New Roman" w:eastAsia="宋体" w:cs="Times New Roman"/>
          <w:b/>
          <w:bCs/>
          <w:color w:val="auto"/>
          <w:spacing w:val="-2"/>
          <w:sz w:val="28"/>
          <w:szCs w:val="28"/>
        </w:rPr>
        <w:t>现场核查</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查看露天作业、石材（煤炭）装卸点、破碎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筛分等主要涉气工序设备停产停运情况。</w:t>
      </w:r>
    </w:p>
    <w:p w14:paraId="7654A6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color w:val="auto"/>
          <w:spacing w:val="-2"/>
          <w:sz w:val="28"/>
          <w:szCs w:val="28"/>
          <w:lang w:eastAsia="zh-CN"/>
        </w:rPr>
        <w:t>3.</w:t>
      </w:r>
      <w:r>
        <w:rPr>
          <w:rFonts w:hint="default" w:ascii="Times New Roman" w:hAnsi="Times New Roman" w:eastAsia="宋体" w:cs="Times New Roman"/>
          <w:b/>
          <w:bCs/>
          <w:color w:val="auto"/>
          <w:spacing w:val="-2"/>
          <w:sz w:val="28"/>
          <w:szCs w:val="28"/>
        </w:rPr>
        <w:t>台账核查</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重点核查生产设施开停机记录表</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核查企业生产台账记录；核查企业涉气车间视频监控，核查企业运输车辆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厂内车辆、</w:t>
      </w:r>
      <w:r>
        <w:rPr>
          <w:rFonts w:hint="default" w:ascii="Times New Roman" w:hAnsi="Times New Roman" w:eastAsia="宋体" w:cs="Times New Roman"/>
          <w:spacing w:val="-2"/>
          <w:sz w:val="28"/>
          <w:szCs w:val="28"/>
        </w:rPr>
        <w:t>非道路移动机械电子台账及企业地磅、轨道</w:t>
      </w:r>
      <w:r>
        <w:rPr>
          <w:rFonts w:hint="default" w:ascii="Times New Roman" w:hAnsi="Times New Roman" w:eastAsia="宋体" w:cs="Times New Roman"/>
          <w:spacing w:val="-2"/>
          <w:sz w:val="28"/>
          <w:szCs w:val="28"/>
          <w:highlight w:val="none"/>
        </w:rPr>
        <w:t>衡</w:t>
      </w:r>
      <w:r>
        <w:rPr>
          <w:rFonts w:hint="default" w:ascii="Times New Roman" w:hAnsi="Times New Roman" w:eastAsia="宋体" w:cs="Times New Roman"/>
          <w:spacing w:val="-2"/>
          <w:sz w:val="28"/>
          <w:szCs w:val="28"/>
        </w:rPr>
        <w:t>等的物料进出量。</w:t>
      </w:r>
    </w:p>
    <w:p w14:paraId="726C7B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调取厂区大门视频监控记录和运输车辆进出场记录，包括出入场时间、车牌号、VIN号</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发动机编号和排放阶段等，比对预警前后厂区汽车限制使用情况是否符合要求；现场抽查运输车辆记录信息和非道路移动机械铭牌或标签等，核查运输车辆和非道路移动机械排放阶段是否符合要求。</w:t>
      </w:r>
    </w:p>
    <w:p w14:paraId="174B8631">
      <w:pPr>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br w:type="page"/>
      </w:r>
    </w:p>
    <w:p w14:paraId="2BC4F179">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rPr>
      </w:pPr>
      <w:bookmarkStart w:id="15" w:name="_Toc19308"/>
      <w:bookmarkStart w:id="16" w:name="_Toc28702"/>
      <w:r>
        <w:rPr>
          <w:rFonts w:hint="default" w:ascii="Times New Roman" w:hAnsi="Times New Roman" w:eastAsia="宋体" w:cs="Times New Roman"/>
          <w:b/>
          <w:sz w:val="32"/>
          <w:szCs w:val="32"/>
          <w:lang w:val="en-US" w:eastAsia="zh-CN"/>
        </w:rPr>
        <w:t>二</w:t>
      </w:r>
      <w:r>
        <w:rPr>
          <w:rFonts w:hint="default" w:ascii="Times New Roman" w:hAnsi="Times New Roman" w:cs="Times New Roman"/>
          <w:b/>
          <w:sz w:val="32"/>
          <w:szCs w:val="32"/>
        </w:rPr>
        <w:t>、纺织印染与服饰制造</w:t>
      </w:r>
      <w:bookmarkEnd w:id="15"/>
      <w:bookmarkEnd w:id="16"/>
    </w:p>
    <w:p w14:paraId="361ACD45">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17" w:name="_Toc23256"/>
      <w:bookmarkStart w:id="18" w:name="_Toc9267"/>
      <w:r>
        <w:rPr>
          <w:rFonts w:hint="default" w:ascii="Times New Roman" w:hAnsi="Times New Roman" w:eastAsia="楷体" w:cs="Times New Roman"/>
          <w:b/>
          <w:sz w:val="30"/>
          <w:szCs w:val="30"/>
        </w:rPr>
        <w:t>（一）适用范围</w:t>
      </w:r>
      <w:bookmarkEnd w:id="17"/>
      <w:bookmarkEnd w:id="18"/>
    </w:p>
    <w:p w14:paraId="3D3FC9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val="en-US" w:eastAsia="zh-CN"/>
        </w:rPr>
      </w:pPr>
      <w:r>
        <w:rPr>
          <w:rFonts w:hint="default" w:ascii="Times New Roman" w:hAnsi="Times New Roman" w:eastAsia="宋体" w:cs="Times New Roman"/>
          <w:spacing w:val="-2"/>
          <w:sz w:val="28"/>
          <w:szCs w:val="28"/>
        </w:rPr>
        <w:t>适用于《国民经济行业分类》（GB/T 4754-2017）C17</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纺织业中的 C171</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棉纺织及印染精加工，C172</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毛纺织及染整精加工， C173</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麻纺织及染整精加工，C174</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丝绢纺织及印染精加工，C175</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化纤纺织及印染精加工，C18</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纺织服装、服饰业，C192皮革制品制造，不包括上述行业中只有各类织物或饰品加工工序且只涉及颗粒物排放</w:t>
      </w:r>
      <w:r>
        <w:rPr>
          <w:rFonts w:hint="default" w:ascii="Times New Roman" w:hAnsi="Times New Roman" w:eastAsia="宋体" w:cs="Times New Roman"/>
          <w:spacing w:val="-2"/>
          <w:sz w:val="28"/>
          <w:szCs w:val="28"/>
          <w:lang w:val="en-US" w:eastAsia="zh-CN"/>
        </w:rPr>
        <w:t>和</w:t>
      </w:r>
      <w:r>
        <w:rPr>
          <w:rFonts w:hint="default" w:ascii="Times New Roman" w:hAnsi="Times New Roman" w:eastAsia="宋体" w:cs="Times New Roman"/>
          <w:spacing w:val="-2"/>
          <w:sz w:val="28"/>
          <w:szCs w:val="28"/>
        </w:rPr>
        <w:t>不涉及VOCs物料的企业。</w:t>
      </w:r>
    </w:p>
    <w:p w14:paraId="6E1BA59A">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19" w:name="_Toc15877"/>
      <w:bookmarkStart w:id="20" w:name="_Toc18096"/>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二</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生产工艺</w:t>
      </w:r>
      <w:bookmarkEnd w:id="19"/>
      <w:bookmarkEnd w:id="20"/>
    </w:p>
    <w:p w14:paraId="6EC4C9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指对纺织材料（纤维、纱、线及织物）进行以化学处理为主的工艺过程，包括前处理、染色、印花、整理（包括一般整理与功能整理）等工序，以及各类织物及皮革制品的后处理工序。</w:t>
      </w:r>
    </w:p>
    <w:p w14:paraId="464C1E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1.</w:t>
      </w:r>
      <w:r>
        <w:rPr>
          <w:rFonts w:hint="default" w:ascii="Times New Roman" w:hAnsi="Times New Roman" w:eastAsia="宋体" w:cs="Times New Roman"/>
          <w:b/>
          <w:bCs/>
          <w:spacing w:val="-2"/>
          <w:sz w:val="28"/>
          <w:szCs w:val="28"/>
        </w:rPr>
        <w:t>主要生产工艺：</w:t>
      </w:r>
    </w:p>
    <w:p w14:paraId="1B54D9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1</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洗毛单元：包括乳化洗毛工艺、溶剂洗毛工艺、冷冻洗毛工艺、超声波洗毛工艺；</w:t>
      </w:r>
    </w:p>
    <w:p w14:paraId="4A264B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2</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麻脱胶工艺：包括化学脱胶、生物脱胶、物理脱胶、生化联合脱胶；</w:t>
      </w:r>
    </w:p>
    <w:p w14:paraId="426D7B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3</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缴丝单元：包括桑蚕缴丝、柞蚕缴丝工艺；</w:t>
      </w:r>
    </w:p>
    <w:p w14:paraId="335C2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4</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织造单元：包括喷水织造、喷气织造工艺；</w:t>
      </w:r>
    </w:p>
    <w:p w14:paraId="05B784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5</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印染单元：包括前处理、印花、染色、整理工艺；</w:t>
      </w:r>
    </w:p>
    <w:p w14:paraId="52A62D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成衣水洗单元：包括普通水洗、酵素洗、漂洗、石磨洗工艺；</w:t>
      </w:r>
    </w:p>
    <w:p w14:paraId="4B5E88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7</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后处理单元：包括各种织物及皮革的成品加工过程；</w:t>
      </w:r>
    </w:p>
    <w:p w14:paraId="0E27F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8</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工业单元：包括锅炉、软化水系统、储存系统、废水处理系统、辅助系统。</w:t>
      </w:r>
    </w:p>
    <w:p w14:paraId="0C43A9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主要原辅材料</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织物、液碱、氧化剂、还原剂、活性染料、分散染料、印染助剂、柔软剂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平滑剂等；</w:t>
      </w:r>
    </w:p>
    <w:p w14:paraId="62328C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主要能源</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电、煤、天然气、管道蒸汽、生物质燃料</w:t>
      </w:r>
      <w:r>
        <w:rPr>
          <w:rFonts w:hint="default" w:ascii="Times New Roman" w:hAnsi="Times New Roman" w:eastAsia="宋体" w:cs="Times New Roman"/>
          <w:spacing w:val="-2"/>
          <w:sz w:val="28"/>
          <w:szCs w:val="28"/>
          <w:lang w:eastAsia="zh-CN"/>
        </w:rPr>
        <w:t>。</w:t>
      </w:r>
    </w:p>
    <w:p w14:paraId="69C7EFCE">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highlight w:val="yellow"/>
        </w:rPr>
      </w:pPr>
      <w:bookmarkStart w:id="21" w:name="_Toc24832"/>
      <w:bookmarkStart w:id="22" w:name="_Toc5007"/>
      <w:r>
        <w:rPr>
          <w:rFonts w:hint="default" w:ascii="Times New Roman" w:hAnsi="Times New Roman" w:eastAsia="楷体" w:cs="Times New Roman"/>
          <w:b/>
          <w:sz w:val="30"/>
          <w:szCs w:val="30"/>
          <w:highlight w:val="none"/>
          <w:lang w:eastAsia="zh-CN"/>
        </w:rPr>
        <w:t>（</w:t>
      </w:r>
      <w:r>
        <w:rPr>
          <w:rFonts w:hint="default" w:ascii="Times New Roman" w:hAnsi="Times New Roman" w:eastAsia="楷体" w:cs="Times New Roman"/>
          <w:b/>
          <w:sz w:val="30"/>
          <w:szCs w:val="30"/>
          <w:highlight w:val="none"/>
        </w:rPr>
        <w:t>三</w:t>
      </w:r>
      <w:r>
        <w:rPr>
          <w:rFonts w:hint="default" w:ascii="Times New Roman" w:hAnsi="Times New Roman" w:eastAsia="楷体" w:cs="Times New Roman"/>
          <w:b/>
          <w:sz w:val="30"/>
          <w:szCs w:val="30"/>
          <w:highlight w:val="none"/>
          <w:lang w:eastAsia="zh-CN"/>
        </w:rPr>
        <w:t>）</w:t>
      </w:r>
      <w:r>
        <w:rPr>
          <w:rFonts w:hint="default" w:ascii="Times New Roman" w:hAnsi="Times New Roman" w:eastAsia="楷体" w:cs="Times New Roman"/>
          <w:b/>
          <w:sz w:val="30"/>
          <w:szCs w:val="30"/>
          <w:highlight w:val="none"/>
        </w:rPr>
        <w:t>主要污染物产排环节</w:t>
      </w:r>
      <w:bookmarkEnd w:id="21"/>
      <w:bookmarkEnd w:id="22"/>
    </w:p>
    <w:p w14:paraId="65263434">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（1）PM：主要</w:t>
      </w:r>
      <w:r>
        <w:rPr>
          <w:rFonts w:hint="eastAsia" w:ascii="Times New Roman" w:hAnsi="Times New Roman" w:eastAsia="宋体" w:cs="Times New Roman"/>
          <w:spacing w:val="-2"/>
          <w:sz w:val="28"/>
          <w:szCs w:val="28"/>
          <w:lang w:eastAsia="zh-CN"/>
        </w:rPr>
        <w:t>来自</w:t>
      </w:r>
      <w:r>
        <w:rPr>
          <w:rFonts w:hint="default" w:ascii="Times New Roman" w:hAnsi="Times New Roman" w:eastAsia="宋体" w:cs="Times New Roman"/>
          <w:spacing w:val="-2"/>
          <w:sz w:val="28"/>
          <w:szCs w:val="28"/>
        </w:rPr>
        <w:t>烘干、定型等工序；</w:t>
      </w:r>
    </w:p>
    <w:p w14:paraId="6AC49302">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（2）挥发性有机物（VOCs）：主要来自印花、烘干、定型等工序；</w:t>
      </w:r>
    </w:p>
    <w:p w14:paraId="0CC0F7CA">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（3）恶臭气体：主要来自毛纺、麻纺、缴丝、织造、成衣水洗等工序；</w:t>
      </w:r>
    </w:p>
    <w:p w14:paraId="1A91A6B1">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（4）SO</w:t>
      </w:r>
      <w:r>
        <w:rPr>
          <w:rFonts w:hint="default" w:ascii="Times New Roman" w:hAnsi="Times New Roman" w:eastAsia="宋体" w:cs="Times New Roman"/>
          <w:spacing w:val="-2"/>
          <w:sz w:val="28"/>
          <w:szCs w:val="28"/>
          <w:vertAlign w:val="subscript"/>
        </w:rPr>
        <w:t>2</w:t>
      </w:r>
      <w:r>
        <w:rPr>
          <w:rFonts w:hint="default" w:ascii="Times New Roman" w:hAnsi="Times New Roman" w:eastAsia="宋体" w:cs="Times New Roman"/>
          <w:spacing w:val="-2"/>
          <w:sz w:val="28"/>
          <w:szCs w:val="28"/>
        </w:rPr>
        <w:t>、NOx：主要</w:t>
      </w:r>
      <w:r>
        <w:rPr>
          <w:rFonts w:hint="eastAsia" w:ascii="Times New Roman" w:hAnsi="Times New Roman" w:eastAsia="宋体" w:cs="Times New Roman"/>
          <w:spacing w:val="-2"/>
          <w:sz w:val="28"/>
          <w:szCs w:val="28"/>
          <w:lang w:eastAsia="zh-CN"/>
        </w:rPr>
        <w:t>来自</w:t>
      </w:r>
      <w:r>
        <w:rPr>
          <w:rFonts w:hint="default" w:ascii="Times New Roman" w:hAnsi="Times New Roman" w:eastAsia="宋体" w:cs="Times New Roman"/>
          <w:spacing w:val="-2"/>
          <w:sz w:val="28"/>
          <w:szCs w:val="28"/>
        </w:rPr>
        <w:t>锅炉、导热油炉及定型机等燃料的燃烧。</w:t>
      </w:r>
    </w:p>
    <w:p w14:paraId="4480E3C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2</w:t>
      </w:r>
      <w:r>
        <w:rPr>
          <w:rFonts w:hint="default" w:ascii="Times New Roman" w:hAnsi="Times New Roman" w:eastAsia="宋体" w:cs="Times New Roman"/>
          <w:b/>
          <w:bCs/>
          <w:spacing w:val="7"/>
          <w:sz w:val="28"/>
          <w:szCs w:val="28"/>
        </w:rPr>
        <w:t>-1</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纺织印染工业主要废气排放节点及主要治理措施</w:t>
      </w:r>
    </w:p>
    <w:p w14:paraId="124EB249">
      <w:pPr>
        <w:spacing w:line="86" w:lineRule="exact"/>
        <w:rPr>
          <w:rFonts w:hint="default" w:ascii="Times New Roman" w:hAnsi="Times New Roman" w:cs="Times New Roman"/>
        </w:rPr>
      </w:pPr>
    </w:p>
    <w:tbl>
      <w:tblPr>
        <w:tblStyle w:val="12"/>
        <w:tblW w:w="499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702"/>
        <w:gridCol w:w="1343"/>
        <w:gridCol w:w="2318"/>
        <w:gridCol w:w="1532"/>
        <w:gridCol w:w="3852"/>
      </w:tblGrid>
      <w:tr w14:paraId="203AC14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5D2E610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6"/>
                <w:sz w:val="21"/>
                <w:szCs w:val="21"/>
              </w:rPr>
              <w:t>序号</w:t>
            </w:r>
          </w:p>
        </w:tc>
        <w:tc>
          <w:tcPr>
            <w:tcW w:w="1343" w:type="dxa"/>
            <w:tcBorders>
              <w:tl2br w:val="nil"/>
              <w:tr2bl w:val="nil"/>
            </w:tcBorders>
            <w:vAlign w:val="center"/>
          </w:tcPr>
          <w:p w14:paraId="0A9BAC8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生产工艺</w:t>
            </w:r>
          </w:p>
        </w:tc>
        <w:tc>
          <w:tcPr>
            <w:tcW w:w="2318" w:type="dxa"/>
            <w:tcBorders>
              <w:tl2br w:val="nil"/>
              <w:tr2bl w:val="nil"/>
            </w:tcBorders>
            <w:vAlign w:val="center"/>
          </w:tcPr>
          <w:p w14:paraId="5190D339">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主要排污节点</w:t>
            </w:r>
          </w:p>
        </w:tc>
        <w:tc>
          <w:tcPr>
            <w:tcW w:w="1532" w:type="dxa"/>
            <w:tcBorders>
              <w:tl2br w:val="nil"/>
              <w:tr2bl w:val="nil"/>
            </w:tcBorders>
            <w:vAlign w:val="center"/>
          </w:tcPr>
          <w:p w14:paraId="5A85464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主要污染物</w:t>
            </w:r>
          </w:p>
        </w:tc>
        <w:tc>
          <w:tcPr>
            <w:tcW w:w="3852" w:type="dxa"/>
            <w:tcBorders>
              <w:tl2br w:val="nil"/>
              <w:tr2bl w:val="nil"/>
            </w:tcBorders>
            <w:vAlign w:val="center"/>
          </w:tcPr>
          <w:p w14:paraId="3BB766E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主要治理措施</w:t>
            </w:r>
          </w:p>
        </w:tc>
      </w:tr>
      <w:tr w14:paraId="07396FE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C0C15B7">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1</w:t>
            </w:r>
          </w:p>
        </w:tc>
        <w:tc>
          <w:tcPr>
            <w:tcW w:w="1343" w:type="dxa"/>
            <w:tcBorders>
              <w:tl2br w:val="nil"/>
              <w:tr2bl w:val="nil"/>
            </w:tcBorders>
            <w:vAlign w:val="center"/>
          </w:tcPr>
          <w:p w14:paraId="74D9807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缴丝</w:t>
            </w:r>
          </w:p>
        </w:tc>
        <w:tc>
          <w:tcPr>
            <w:tcW w:w="2318" w:type="dxa"/>
            <w:tcBorders>
              <w:tl2br w:val="nil"/>
              <w:tr2bl w:val="nil"/>
            </w:tcBorders>
            <w:vAlign w:val="center"/>
          </w:tcPr>
          <w:p w14:paraId="726C263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打棉</w:t>
            </w:r>
          </w:p>
        </w:tc>
        <w:tc>
          <w:tcPr>
            <w:tcW w:w="1532" w:type="dxa"/>
            <w:tcBorders>
              <w:tl2br w:val="nil"/>
              <w:tr2bl w:val="nil"/>
            </w:tcBorders>
            <w:vAlign w:val="center"/>
          </w:tcPr>
          <w:p w14:paraId="6B4E0A1D">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臭气浓度</w:t>
            </w:r>
          </w:p>
        </w:tc>
        <w:tc>
          <w:tcPr>
            <w:tcW w:w="3852" w:type="dxa"/>
            <w:tcBorders>
              <w:tl2br w:val="nil"/>
              <w:tr2bl w:val="nil"/>
            </w:tcBorders>
            <w:vAlign w:val="center"/>
          </w:tcPr>
          <w:p w14:paraId="09D6C60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燃烧、生物净化、化学除臭、光催化氧化等工艺</w:t>
            </w:r>
          </w:p>
        </w:tc>
      </w:tr>
      <w:tr w14:paraId="2BE472A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2CD37A4">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2</w:t>
            </w:r>
          </w:p>
        </w:tc>
        <w:tc>
          <w:tcPr>
            <w:tcW w:w="1343" w:type="dxa"/>
            <w:tcBorders>
              <w:tl2br w:val="nil"/>
              <w:tr2bl w:val="nil"/>
            </w:tcBorders>
            <w:vAlign w:val="center"/>
          </w:tcPr>
          <w:p w14:paraId="05827D7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麻脱胶</w:t>
            </w:r>
          </w:p>
        </w:tc>
        <w:tc>
          <w:tcPr>
            <w:tcW w:w="2318" w:type="dxa"/>
            <w:tcBorders>
              <w:tl2br w:val="nil"/>
              <w:tr2bl w:val="nil"/>
            </w:tcBorders>
            <w:vAlign w:val="center"/>
          </w:tcPr>
          <w:p w14:paraId="304E57F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扎把、梳麻、沤麻、浸渍、开松</w:t>
            </w:r>
          </w:p>
        </w:tc>
        <w:tc>
          <w:tcPr>
            <w:tcW w:w="1532" w:type="dxa"/>
            <w:tcBorders>
              <w:tl2br w:val="nil"/>
              <w:tr2bl w:val="nil"/>
            </w:tcBorders>
            <w:vAlign w:val="center"/>
          </w:tcPr>
          <w:p w14:paraId="62D10728">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PM、臭气浓度</w:t>
            </w:r>
          </w:p>
        </w:tc>
        <w:tc>
          <w:tcPr>
            <w:tcW w:w="3852" w:type="dxa"/>
            <w:tcBorders>
              <w:tl2br w:val="nil"/>
              <w:tr2bl w:val="nil"/>
            </w:tcBorders>
            <w:vAlign w:val="center"/>
          </w:tcPr>
          <w:p w14:paraId="3FDDAC52">
            <w:pPr>
              <w:keepNext w:val="0"/>
              <w:keepLines w:val="0"/>
              <w:pageBreakBefore w:val="0"/>
              <w:widowControl/>
              <w:kinsoku/>
              <w:wordWrap/>
              <w:overflowPunct/>
              <w:topLinePunct w:val="0"/>
              <w:autoSpaceDE w:val="0"/>
              <w:autoSpaceDN w:val="0"/>
              <w:bidi w:val="0"/>
              <w:adjustRightInd w:val="0"/>
              <w:snapToGrid w:val="0"/>
              <w:spacing w:line="240" w:lineRule="auto"/>
              <w:ind w:firstLine="0"/>
              <w:jc w:val="center"/>
              <w:textAlignment w:val="baseline"/>
              <w:rPr>
                <w:rFonts w:hint="default" w:ascii="Times New Roman" w:hAnsi="Times New Roman" w:cs="Times New Roman"/>
                <w:sz w:val="21"/>
                <w:szCs w:val="21"/>
              </w:rPr>
            </w:pPr>
          </w:p>
          <w:p w14:paraId="5BABD84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湿式/干式除尘、除臭</w:t>
            </w:r>
          </w:p>
        </w:tc>
      </w:tr>
      <w:tr w14:paraId="1609628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0860FAF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3</w:t>
            </w:r>
          </w:p>
        </w:tc>
        <w:tc>
          <w:tcPr>
            <w:tcW w:w="1343" w:type="dxa"/>
            <w:tcBorders>
              <w:tl2br w:val="nil"/>
              <w:tr2bl w:val="nil"/>
            </w:tcBorders>
            <w:vAlign w:val="center"/>
          </w:tcPr>
          <w:p w14:paraId="017C232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洗毛</w:t>
            </w:r>
          </w:p>
        </w:tc>
        <w:tc>
          <w:tcPr>
            <w:tcW w:w="2318" w:type="dxa"/>
            <w:tcBorders>
              <w:tl2br w:val="nil"/>
              <w:tr2bl w:val="nil"/>
            </w:tcBorders>
            <w:vAlign w:val="center"/>
          </w:tcPr>
          <w:p w14:paraId="3E01840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选毛、梳毛</w:t>
            </w:r>
          </w:p>
        </w:tc>
        <w:tc>
          <w:tcPr>
            <w:tcW w:w="1532" w:type="dxa"/>
            <w:tcBorders>
              <w:tl2br w:val="nil"/>
              <w:tr2bl w:val="nil"/>
            </w:tcBorders>
            <w:vAlign w:val="center"/>
          </w:tcPr>
          <w:p w14:paraId="706D6282">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p>
        </w:tc>
        <w:tc>
          <w:tcPr>
            <w:tcW w:w="3852" w:type="dxa"/>
            <w:vMerge w:val="restart"/>
            <w:tcBorders>
              <w:tl2br w:val="nil"/>
              <w:tr2bl w:val="nil"/>
            </w:tcBorders>
            <w:vAlign w:val="center"/>
          </w:tcPr>
          <w:p w14:paraId="6101E16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湿式/干式除尘</w:t>
            </w:r>
          </w:p>
        </w:tc>
      </w:tr>
      <w:tr w14:paraId="726ACE6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3EE54EA5">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4</w:t>
            </w:r>
          </w:p>
        </w:tc>
        <w:tc>
          <w:tcPr>
            <w:tcW w:w="1343" w:type="dxa"/>
            <w:tcBorders>
              <w:tl2br w:val="nil"/>
              <w:tr2bl w:val="nil"/>
            </w:tcBorders>
            <w:vAlign w:val="center"/>
          </w:tcPr>
          <w:p w14:paraId="3BA3428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织造</w:t>
            </w:r>
          </w:p>
        </w:tc>
        <w:tc>
          <w:tcPr>
            <w:tcW w:w="2318" w:type="dxa"/>
            <w:tcBorders>
              <w:tl2br w:val="nil"/>
              <w:tr2bl w:val="nil"/>
            </w:tcBorders>
            <w:vAlign w:val="center"/>
          </w:tcPr>
          <w:p w14:paraId="27FCD29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清棉、梳理、开松、废棉处理、喷气织造</w:t>
            </w:r>
          </w:p>
        </w:tc>
        <w:tc>
          <w:tcPr>
            <w:tcW w:w="1532" w:type="dxa"/>
            <w:tcBorders>
              <w:tl2br w:val="nil"/>
              <w:tr2bl w:val="nil"/>
            </w:tcBorders>
            <w:vAlign w:val="center"/>
          </w:tcPr>
          <w:p w14:paraId="721A67C5">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52" w:type="dxa"/>
            <w:vMerge w:val="continue"/>
            <w:tcBorders>
              <w:tl2br w:val="nil"/>
              <w:tr2bl w:val="nil"/>
            </w:tcBorders>
            <w:vAlign w:val="center"/>
          </w:tcPr>
          <w:p w14:paraId="7EE5D99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p>
        </w:tc>
      </w:tr>
      <w:tr w14:paraId="08A48EB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3673DE5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5</w:t>
            </w:r>
          </w:p>
        </w:tc>
        <w:tc>
          <w:tcPr>
            <w:tcW w:w="1343" w:type="dxa"/>
            <w:vMerge w:val="restart"/>
            <w:tcBorders>
              <w:tl2br w:val="nil"/>
              <w:tr2bl w:val="nil"/>
            </w:tcBorders>
            <w:vAlign w:val="center"/>
          </w:tcPr>
          <w:p w14:paraId="221B7F2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印染</w:t>
            </w:r>
          </w:p>
        </w:tc>
        <w:tc>
          <w:tcPr>
            <w:tcW w:w="2318" w:type="dxa"/>
            <w:tcBorders>
              <w:tl2br w:val="nil"/>
              <w:tr2bl w:val="nil"/>
            </w:tcBorders>
            <w:vAlign w:val="center"/>
          </w:tcPr>
          <w:p w14:paraId="2F85775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烧毛、磨毛、拉毛</w:t>
            </w:r>
          </w:p>
        </w:tc>
        <w:tc>
          <w:tcPr>
            <w:tcW w:w="1532" w:type="dxa"/>
            <w:tcBorders>
              <w:tl2br w:val="nil"/>
              <w:tr2bl w:val="nil"/>
            </w:tcBorders>
            <w:vAlign w:val="center"/>
          </w:tcPr>
          <w:p w14:paraId="1F854E98">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52" w:type="dxa"/>
            <w:tcBorders>
              <w:tl2br w:val="nil"/>
              <w:tr2bl w:val="nil"/>
            </w:tcBorders>
            <w:vAlign w:val="center"/>
          </w:tcPr>
          <w:p w14:paraId="3110279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湿式/干式除尘</w:t>
            </w:r>
          </w:p>
        </w:tc>
      </w:tr>
      <w:tr w14:paraId="017A705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49231141">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0B6C123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6F3F184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印花</w:t>
            </w:r>
            <w:r>
              <w:rPr>
                <w:rFonts w:hint="default" w:ascii="Times New Roman" w:hAnsi="Times New Roman" w:cs="Times New Roman"/>
                <w:sz w:val="21"/>
                <w:szCs w:val="21"/>
                <w:vertAlign w:val="superscript"/>
              </w:rPr>
              <w:t>【1】</w:t>
            </w:r>
          </w:p>
        </w:tc>
        <w:tc>
          <w:tcPr>
            <w:tcW w:w="1532" w:type="dxa"/>
            <w:tcBorders>
              <w:tl2br w:val="nil"/>
              <w:tr2bl w:val="nil"/>
            </w:tcBorders>
            <w:vAlign w:val="center"/>
          </w:tcPr>
          <w:p w14:paraId="004D111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甲苯、二甲苯、非甲 烷 总 烃（NMHC）</w:t>
            </w:r>
          </w:p>
        </w:tc>
        <w:tc>
          <w:tcPr>
            <w:tcW w:w="3852" w:type="dxa"/>
            <w:tcBorders>
              <w:tl2br w:val="nil"/>
              <w:tr2bl w:val="nil"/>
            </w:tcBorders>
            <w:vAlign w:val="center"/>
          </w:tcPr>
          <w:p w14:paraId="4FDB11C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喷淋洗涤、吸附、生物净化、吸附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冷凝回收、吸附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催化燃烧等</w:t>
            </w:r>
          </w:p>
        </w:tc>
      </w:tr>
      <w:tr w14:paraId="6BFCDAF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7C60CE3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1515C53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73172EC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定型</w:t>
            </w:r>
          </w:p>
        </w:tc>
        <w:tc>
          <w:tcPr>
            <w:tcW w:w="1532" w:type="dxa"/>
            <w:tcBorders>
              <w:tl2br w:val="nil"/>
              <w:tr2bl w:val="nil"/>
            </w:tcBorders>
            <w:vAlign w:val="center"/>
          </w:tcPr>
          <w:p w14:paraId="53CAAAB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PM、NMHC</w:t>
            </w:r>
          </w:p>
        </w:tc>
        <w:tc>
          <w:tcPr>
            <w:tcW w:w="3852" w:type="dxa"/>
            <w:tcBorders>
              <w:tl2br w:val="nil"/>
              <w:tr2bl w:val="nil"/>
            </w:tcBorders>
            <w:vAlign w:val="center"/>
          </w:tcPr>
          <w:p w14:paraId="03BCD8B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喷淋洗涤、吸附、喷淋洗涤-静电</w:t>
            </w:r>
          </w:p>
        </w:tc>
      </w:tr>
      <w:tr w14:paraId="2722E45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1B96BCDC">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11B05AF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439AFF8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涂层整理</w:t>
            </w:r>
          </w:p>
        </w:tc>
        <w:tc>
          <w:tcPr>
            <w:tcW w:w="1532" w:type="dxa"/>
            <w:tcBorders>
              <w:tl2br w:val="nil"/>
              <w:tr2bl w:val="nil"/>
            </w:tcBorders>
            <w:vAlign w:val="center"/>
          </w:tcPr>
          <w:p w14:paraId="14D424C3">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甲苯、二甲苯、NMHC</w:t>
            </w:r>
          </w:p>
        </w:tc>
        <w:tc>
          <w:tcPr>
            <w:tcW w:w="3852" w:type="dxa"/>
            <w:tcBorders>
              <w:tl2br w:val="nil"/>
              <w:tr2bl w:val="nil"/>
            </w:tcBorders>
            <w:vAlign w:val="center"/>
          </w:tcPr>
          <w:p w14:paraId="2E78BC8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冷凝回收、吸附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催化燃烧、蓄热式燃烧、蓄热式催化燃烧等</w:t>
            </w:r>
          </w:p>
        </w:tc>
      </w:tr>
      <w:tr w14:paraId="54BF81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6B784A1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pacing w:val="-11"/>
                <w:sz w:val="21"/>
                <w:szCs w:val="21"/>
                <w:lang w:val="en-US" w:eastAsia="zh-CN"/>
              </w:rPr>
              <w:t>6</w:t>
            </w:r>
          </w:p>
        </w:tc>
        <w:tc>
          <w:tcPr>
            <w:tcW w:w="1343" w:type="dxa"/>
            <w:tcBorders>
              <w:tl2br w:val="nil"/>
              <w:tr2bl w:val="nil"/>
            </w:tcBorders>
            <w:vAlign w:val="center"/>
          </w:tcPr>
          <w:p w14:paraId="5D9178E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成衣水洗</w:t>
            </w:r>
          </w:p>
        </w:tc>
        <w:tc>
          <w:tcPr>
            <w:tcW w:w="2318" w:type="dxa"/>
            <w:tcBorders>
              <w:tl2br w:val="nil"/>
              <w:tr2bl w:val="nil"/>
            </w:tcBorders>
            <w:vAlign w:val="center"/>
          </w:tcPr>
          <w:p w14:paraId="4BFF5E6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磨砂、马骥、镭射</w:t>
            </w:r>
          </w:p>
        </w:tc>
        <w:tc>
          <w:tcPr>
            <w:tcW w:w="1532" w:type="dxa"/>
            <w:tcBorders>
              <w:tl2br w:val="nil"/>
              <w:tr2bl w:val="nil"/>
            </w:tcBorders>
            <w:vAlign w:val="center"/>
          </w:tcPr>
          <w:p w14:paraId="6285DF4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PM</w:t>
            </w:r>
          </w:p>
        </w:tc>
        <w:tc>
          <w:tcPr>
            <w:tcW w:w="3852" w:type="dxa"/>
            <w:tcBorders>
              <w:tl2br w:val="nil"/>
              <w:tr2bl w:val="nil"/>
            </w:tcBorders>
            <w:vAlign w:val="center"/>
          </w:tcPr>
          <w:p w14:paraId="1519769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除尘</w:t>
            </w:r>
          </w:p>
        </w:tc>
      </w:tr>
      <w:tr w14:paraId="5564EF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29D8296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7</w:t>
            </w:r>
          </w:p>
        </w:tc>
        <w:tc>
          <w:tcPr>
            <w:tcW w:w="1343" w:type="dxa"/>
            <w:vMerge w:val="restart"/>
            <w:tcBorders>
              <w:tl2br w:val="nil"/>
              <w:tr2bl w:val="nil"/>
            </w:tcBorders>
            <w:vAlign w:val="center"/>
          </w:tcPr>
          <w:p w14:paraId="3EB17ED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lang w:val="en-US" w:eastAsia="zh-CN"/>
              </w:rPr>
              <w:t>公</w:t>
            </w:r>
            <w:r>
              <w:rPr>
                <w:rFonts w:hint="default" w:ascii="Times New Roman" w:hAnsi="Times New Roman" w:cs="Times New Roman"/>
                <w:spacing w:val="-4"/>
                <w:sz w:val="21"/>
                <w:szCs w:val="21"/>
              </w:rPr>
              <w:t>用单元</w:t>
            </w:r>
          </w:p>
        </w:tc>
        <w:tc>
          <w:tcPr>
            <w:tcW w:w="2318" w:type="dxa"/>
            <w:tcBorders>
              <w:tl2br w:val="nil"/>
              <w:tr2bl w:val="nil"/>
            </w:tcBorders>
            <w:vAlign w:val="center"/>
          </w:tcPr>
          <w:p w14:paraId="4D411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锅炉/导热油炉</w:t>
            </w:r>
          </w:p>
        </w:tc>
        <w:tc>
          <w:tcPr>
            <w:tcW w:w="1532" w:type="dxa"/>
            <w:tcBorders>
              <w:tl2br w:val="nil"/>
              <w:tr2bl w:val="nil"/>
            </w:tcBorders>
            <w:vAlign w:val="center"/>
          </w:tcPr>
          <w:p w14:paraId="4800B2F4">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PM、二氧化硫、氮氧化物</w:t>
            </w:r>
          </w:p>
        </w:tc>
        <w:tc>
          <w:tcPr>
            <w:tcW w:w="3852" w:type="dxa"/>
            <w:tcBorders>
              <w:tl2br w:val="nil"/>
              <w:tr2bl w:val="nil"/>
            </w:tcBorders>
            <w:vAlign w:val="center"/>
          </w:tcPr>
          <w:p w14:paraId="62F7B66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①除尘：电除尘、袋式除尘、电袋除尘、湿式除尘；</w:t>
            </w:r>
          </w:p>
          <w:p w14:paraId="4E07E47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②脱硫：石灰石/石灰-石膏等湿法、喷雾干燥、循环流化床等干法和半干法；</w:t>
            </w:r>
          </w:p>
          <w:p w14:paraId="06A607E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③脱硝：SCR/SNCR、低氮燃烧+SNCR、低氮燃烧+SCR、除尘脱硝一体化等</w:t>
            </w:r>
          </w:p>
        </w:tc>
      </w:tr>
      <w:tr w14:paraId="03C559A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23A0290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pacing w:val="-10"/>
                <w:sz w:val="21"/>
                <w:szCs w:val="21"/>
              </w:rPr>
            </w:pPr>
          </w:p>
        </w:tc>
        <w:tc>
          <w:tcPr>
            <w:tcW w:w="1343" w:type="dxa"/>
            <w:vMerge w:val="continue"/>
            <w:tcBorders>
              <w:tl2br w:val="nil"/>
              <w:tr2bl w:val="nil"/>
            </w:tcBorders>
            <w:vAlign w:val="center"/>
          </w:tcPr>
          <w:p w14:paraId="0332234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4"/>
                <w:sz w:val="21"/>
                <w:szCs w:val="21"/>
                <w:lang w:val="en-US" w:eastAsia="zh-CN"/>
              </w:rPr>
            </w:pPr>
          </w:p>
        </w:tc>
        <w:tc>
          <w:tcPr>
            <w:tcW w:w="2318" w:type="dxa"/>
            <w:tcBorders>
              <w:tl2br w:val="nil"/>
              <w:tr2bl w:val="nil"/>
            </w:tcBorders>
            <w:vAlign w:val="center"/>
          </w:tcPr>
          <w:p w14:paraId="6DBF8AF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2"/>
                <w:sz w:val="21"/>
                <w:szCs w:val="21"/>
              </w:rPr>
            </w:pPr>
            <w:r>
              <w:rPr>
                <w:rFonts w:hint="default" w:ascii="Times New Roman" w:hAnsi="Times New Roman" w:cs="Times New Roman"/>
                <w:spacing w:val="-2"/>
                <w:sz w:val="21"/>
                <w:szCs w:val="21"/>
              </w:rPr>
              <w:t>储运系统、配料系统</w:t>
            </w:r>
          </w:p>
        </w:tc>
        <w:tc>
          <w:tcPr>
            <w:tcW w:w="1532" w:type="dxa"/>
            <w:tcBorders>
              <w:tl2br w:val="nil"/>
              <w:tr2bl w:val="nil"/>
            </w:tcBorders>
            <w:vAlign w:val="center"/>
          </w:tcPr>
          <w:p w14:paraId="729D73D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pacing w:val="-1"/>
                <w:sz w:val="21"/>
                <w:szCs w:val="21"/>
              </w:rPr>
            </w:pPr>
            <w:r>
              <w:rPr>
                <w:rFonts w:hint="default" w:ascii="Times New Roman" w:hAnsi="Times New Roman" w:eastAsia="Times New Roman" w:cs="Times New Roman"/>
                <w:spacing w:val="-1"/>
                <w:sz w:val="21"/>
                <w:szCs w:val="21"/>
              </w:rPr>
              <w:t>PM、NMHC</w:t>
            </w:r>
          </w:p>
        </w:tc>
        <w:tc>
          <w:tcPr>
            <w:tcW w:w="3852" w:type="dxa"/>
            <w:tcBorders>
              <w:tl2br w:val="nil"/>
              <w:tr2bl w:val="nil"/>
            </w:tcBorders>
            <w:vAlign w:val="center"/>
          </w:tcPr>
          <w:p w14:paraId="5B4B82B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密闭、负压集气处理、清扫、洒水等</w:t>
            </w:r>
          </w:p>
        </w:tc>
      </w:tr>
      <w:tr w14:paraId="6A5EC62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747" w:type="dxa"/>
            <w:gridSpan w:val="5"/>
            <w:tcBorders>
              <w:tl2br w:val="nil"/>
              <w:tr2bl w:val="nil"/>
            </w:tcBorders>
            <w:vAlign w:val="center"/>
          </w:tcPr>
          <w:p w14:paraId="79E84B4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left"/>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备注【1】：指蒸化、静电植绒、数码印花、转移印花等产生废气的重点工段。</w:t>
            </w:r>
          </w:p>
        </w:tc>
      </w:tr>
    </w:tbl>
    <w:p w14:paraId="431B6B55">
      <w:pPr>
        <w:rPr>
          <w:rFonts w:hint="default" w:ascii="Times New Roman" w:hAnsi="Times New Roman" w:cs="Times New Roman"/>
        </w:rPr>
      </w:pPr>
    </w:p>
    <w:p w14:paraId="4468E6B5">
      <w:pPr>
        <w:rPr>
          <w:rFonts w:hint="default" w:ascii="Times New Roman" w:hAnsi="Times New Roman" w:cs="Times New Roman"/>
        </w:rPr>
        <w:sectPr>
          <w:footerReference r:id="rId10" w:type="default"/>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2B8EA99F">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rPr>
      </w:pPr>
      <w:bookmarkStart w:id="23" w:name="_Toc6751"/>
      <w:bookmarkStart w:id="24" w:name="_Toc1330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23"/>
      <w:bookmarkEnd w:id="24"/>
    </w:p>
    <w:p w14:paraId="441E16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2</w:t>
      </w:r>
      <w:r>
        <w:rPr>
          <w:rFonts w:hint="default" w:ascii="Times New Roman" w:hAnsi="Times New Roman" w:eastAsia="宋体" w:cs="Times New Roman"/>
          <w:b/>
          <w:bCs/>
          <w:spacing w:val="7"/>
          <w:sz w:val="28"/>
          <w:szCs w:val="28"/>
        </w:rPr>
        <w:t>-2</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纺织印染与服饰制造企业绩效分级指标</w:t>
      </w:r>
    </w:p>
    <w:p w14:paraId="0B81D3F5">
      <w:pPr>
        <w:spacing w:line="86" w:lineRule="exact"/>
        <w:rPr>
          <w:rFonts w:hint="default" w:ascii="Times New Roman" w:hAnsi="Times New Roman" w:cs="Times New Roman"/>
        </w:rPr>
      </w:pPr>
    </w:p>
    <w:tbl>
      <w:tblPr>
        <w:tblStyle w:val="12"/>
        <w:tblW w:w="501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6"/>
        <w:gridCol w:w="4867"/>
        <w:gridCol w:w="4065"/>
        <w:gridCol w:w="3142"/>
        <w:gridCol w:w="1402"/>
      </w:tblGrid>
      <w:tr w14:paraId="3A39A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blHeader/>
        </w:trPr>
        <w:tc>
          <w:tcPr>
            <w:tcW w:w="1256" w:type="dxa"/>
            <w:vAlign w:val="center"/>
          </w:tcPr>
          <w:p w14:paraId="07124E3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7"/>
                <w:sz w:val="21"/>
                <w:szCs w:val="21"/>
              </w:rPr>
              <w:t>差异化指标</w:t>
            </w:r>
          </w:p>
        </w:tc>
        <w:tc>
          <w:tcPr>
            <w:tcW w:w="4867" w:type="dxa"/>
            <w:vAlign w:val="center"/>
          </w:tcPr>
          <w:p w14:paraId="4850EF4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5"/>
                <w:sz w:val="21"/>
                <w:szCs w:val="21"/>
              </w:rPr>
              <w:t>A级企业</w:t>
            </w:r>
          </w:p>
        </w:tc>
        <w:tc>
          <w:tcPr>
            <w:tcW w:w="4065" w:type="dxa"/>
            <w:vAlign w:val="center"/>
          </w:tcPr>
          <w:p w14:paraId="1A8E058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B级企业</w:t>
            </w:r>
          </w:p>
        </w:tc>
        <w:tc>
          <w:tcPr>
            <w:tcW w:w="3142" w:type="dxa"/>
            <w:vAlign w:val="center"/>
          </w:tcPr>
          <w:p w14:paraId="1A3B5C8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C级企业</w:t>
            </w:r>
          </w:p>
        </w:tc>
        <w:tc>
          <w:tcPr>
            <w:tcW w:w="1402" w:type="dxa"/>
            <w:vAlign w:val="center"/>
          </w:tcPr>
          <w:p w14:paraId="7933D11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pacing w:val="4"/>
                <w:sz w:val="21"/>
                <w:szCs w:val="21"/>
                <w:lang w:val="en-US" w:eastAsia="zh-CN"/>
              </w:rPr>
            </w:pPr>
            <w:r>
              <w:rPr>
                <w:rFonts w:hint="default" w:ascii="Times New Roman" w:hAnsi="Times New Roman" w:cs="Times New Roman"/>
                <w:b/>
                <w:bCs/>
                <w:spacing w:val="4"/>
                <w:sz w:val="21"/>
                <w:szCs w:val="21"/>
                <w:lang w:val="en-US" w:eastAsia="zh-CN"/>
              </w:rPr>
              <w:t>D级企业</w:t>
            </w:r>
          </w:p>
        </w:tc>
      </w:tr>
      <w:tr w14:paraId="692A4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56" w:type="dxa"/>
            <w:tcBorders>
              <w:bottom w:val="single" w:color="auto" w:sz="4" w:space="0"/>
            </w:tcBorders>
            <w:vAlign w:val="center"/>
          </w:tcPr>
          <w:p w14:paraId="4A7D41C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能源类型</w:t>
            </w:r>
          </w:p>
        </w:tc>
        <w:tc>
          <w:tcPr>
            <w:tcW w:w="8932" w:type="dxa"/>
            <w:gridSpan w:val="2"/>
            <w:tcBorders>
              <w:right w:val="single" w:color="auto" w:sz="4" w:space="0"/>
            </w:tcBorders>
            <w:vAlign w:val="center"/>
          </w:tcPr>
          <w:p w14:paraId="5CADE4E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蒸汽来源采用电、天然气锅炉或外购蒸汽；</w:t>
            </w:r>
          </w:p>
          <w:p w14:paraId="7DB6EB4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热处理炉采用电、天然气。</w:t>
            </w:r>
          </w:p>
        </w:tc>
        <w:tc>
          <w:tcPr>
            <w:tcW w:w="4544" w:type="dxa"/>
            <w:gridSpan w:val="2"/>
            <w:tcBorders>
              <w:left w:val="single" w:color="auto" w:sz="4" w:space="0"/>
            </w:tcBorders>
            <w:vAlign w:val="center"/>
          </w:tcPr>
          <w:p w14:paraId="41B469F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r>
              <w:rPr>
                <w:rFonts w:hint="default" w:ascii="Times New Roman" w:hAnsi="Times New Roman" w:cs="Times New Roman"/>
                <w:sz w:val="21"/>
                <w:szCs w:val="21"/>
                <w:lang w:eastAsia="zh-CN"/>
              </w:rPr>
              <w:t>。</w:t>
            </w:r>
          </w:p>
        </w:tc>
      </w:tr>
      <w:tr w14:paraId="07DDC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256" w:type="dxa"/>
            <w:tcBorders>
              <w:top w:val="single" w:color="auto" w:sz="4" w:space="0"/>
              <w:left w:val="single" w:color="auto" w:sz="4" w:space="0"/>
              <w:bottom w:val="single" w:color="auto" w:sz="4" w:space="0"/>
              <w:right w:val="single" w:color="auto" w:sz="4" w:space="0"/>
            </w:tcBorders>
            <w:vAlign w:val="center"/>
          </w:tcPr>
          <w:p w14:paraId="0AF2AC4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生产工艺及装备水平</w:t>
            </w:r>
          </w:p>
        </w:tc>
        <w:tc>
          <w:tcPr>
            <w:tcW w:w="12074" w:type="dxa"/>
            <w:gridSpan w:val="3"/>
            <w:tcBorders>
              <w:left w:val="single" w:color="auto" w:sz="4" w:space="0"/>
              <w:bottom w:val="single" w:color="auto" w:sz="4" w:space="0"/>
            </w:tcBorders>
            <w:vAlign w:val="center"/>
          </w:tcPr>
          <w:p w14:paraId="7A068D1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6"/>
                <w:sz w:val="21"/>
                <w:szCs w:val="21"/>
                <w:lang w:eastAsia="zh-CN"/>
              </w:rPr>
              <w:t>1.</w:t>
            </w:r>
            <w:r>
              <w:rPr>
                <w:rFonts w:hint="default" w:ascii="Times New Roman" w:hAnsi="Times New Roman" w:eastAsia="宋体" w:cs="Times New Roman"/>
                <w:b w:val="0"/>
                <w:bCs w:val="0"/>
                <w:spacing w:val="6"/>
                <w:sz w:val="21"/>
                <w:szCs w:val="21"/>
              </w:rPr>
              <w:t>属于《产业结构调整指导目录（20</w:t>
            </w:r>
            <w:r>
              <w:rPr>
                <w:rFonts w:hint="default" w:ascii="Times New Roman" w:hAnsi="Times New Roman" w:cs="Times New Roman"/>
                <w:b w:val="0"/>
                <w:bCs w:val="0"/>
                <w:spacing w:val="6"/>
                <w:sz w:val="21"/>
                <w:szCs w:val="21"/>
                <w:lang w:val="en-US" w:eastAsia="zh-CN"/>
              </w:rPr>
              <w:t>24</w:t>
            </w:r>
            <w:r>
              <w:rPr>
                <w:rFonts w:hint="default" w:ascii="Times New Roman" w:hAnsi="Times New Roman" w:eastAsia="宋体" w:cs="Times New Roman"/>
                <w:b w:val="0"/>
                <w:bCs w:val="0"/>
                <w:spacing w:val="6"/>
                <w:sz w:val="21"/>
                <w:szCs w:val="21"/>
              </w:rPr>
              <w:t>年版）》鼓励类和允许类；2</w:t>
            </w:r>
            <w:r>
              <w:rPr>
                <w:rFonts w:hint="eastAsia" w:ascii="Times New Roman" w:hAnsi="Times New Roman" w:cs="Times New Roman"/>
                <w:b w:val="0"/>
                <w:bCs w:val="0"/>
                <w:spacing w:val="6"/>
                <w:sz w:val="21"/>
                <w:szCs w:val="21"/>
                <w:lang w:val="en-US" w:eastAsia="zh-CN"/>
              </w:rPr>
              <w:t>.</w:t>
            </w:r>
            <w:r>
              <w:rPr>
                <w:rFonts w:hint="default" w:ascii="Times New Roman" w:hAnsi="Times New Roman" w:eastAsia="宋体" w:cs="Times New Roman"/>
                <w:b w:val="0"/>
                <w:bCs w:val="0"/>
                <w:spacing w:val="6"/>
                <w:sz w:val="21"/>
                <w:szCs w:val="21"/>
              </w:rPr>
              <w:t>符合相关行业产业政策；3</w:t>
            </w:r>
            <w:r>
              <w:rPr>
                <w:rFonts w:hint="eastAsia" w:ascii="Times New Roman" w:hAnsi="Times New Roman" w:cs="Times New Roman"/>
                <w:b w:val="0"/>
                <w:bCs w:val="0"/>
                <w:spacing w:val="6"/>
                <w:sz w:val="21"/>
                <w:szCs w:val="21"/>
                <w:lang w:val="en-US" w:eastAsia="zh-CN"/>
              </w:rPr>
              <w:t>.</w:t>
            </w:r>
            <w:r>
              <w:rPr>
                <w:rFonts w:hint="default" w:ascii="Times New Roman" w:hAnsi="Times New Roman" w:eastAsia="宋体" w:cs="Times New Roman"/>
                <w:b w:val="0"/>
                <w:bCs w:val="0"/>
                <w:spacing w:val="6"/>
                <w:sz w:val="21"/>
                <w:szCs w:val="21"/>
              </w:rPr>
              <w:t>符合湖北省相关政策要求</w:t>
            </w:r>
            <w:r>
              <w:rPr>
                <w:rFonts w:hint="default" w:ascii="Times New Roman" w:hAnsi="Times New Roman" w:cs="Times New Roman"/>
                <w:b w:val="0"/>
                <w:bCs w:val="0"/>
                <w:spacing w:val="6"/>
                <w:sz w:val="21"/>
                <w:szCs w:val="21"/>
                <w:lang w:eastAsia="zh-CN"/>
              </w:rPr>
              <w:t>；</w:t>
            </w:r>
            <w:r>
              <w:rPr>
                <w:rFonts w:hint="default" w:ascii="Times New Roman" w:hAnsi="Times New Roman" w:cs="Times New Roman"/>
                <w:b w:val="0"/>
                <w:bCs w:val="0"/>
                <w:spacing w:val="6"/>
                <w:sz w:val="21"/>
                <w:szCs w:val="21"/>
                <w:lang w:val="en-US" w:eastAsia="zh-CN"/>
              </w:rPr>
              <w:t>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符合随州市相关政策要求</w:t>
            </w:r>
            <w:r>
              <w:rPr>
                <w:rFonts w:hint="default" w:ascii="Times New Roman" w:hAnsi="Times New Roman" w:eastAsia="宋体" w:cs="Times New Roman"/>
                <w:b w:val="0"/>
                <w:bCs w:val="0"/>
                <w:spacing w:val="6"/>
                <w:sz w:val="21"/>
                <w:szCs w:val="21"/>
              </w:rPr>
              <w:t>。</w:t>
            </w:r>
          </w:p>
        </w:tc>
        <w:tc>
          <w:tcPr>
            <w:tcW w:w="1402" w:type="dxa"/>
            <w:tcBorders>
              <w:bottom w:val="single" w:color="auto" w:sz="4" w:space="0"/>
            </w:tcBorders>
            <w:vAlign w:val="center"/>
          </w:tcPr>
          <w:p w14:paraId="7356C96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lang w:eastAsia="zh-CN"/>
              </w:rPr>
            </w:pPr>
            <w:r>
              <w:rPr>
                <w:rFonts w:hint="default" w:ascii="Times New Roman" w:hAnsi="Times New Roman" w:cs="Times New Roman"/>
                <w:b w:val="0"/>
                <w:bCs w:val="0"/>
                <w:spacing w:val="6"/>
                <w:sz w:val="21"/>
                <w:szCs w:val="21"/>
                <w:lang w:val="en-US" w:eastAsia="zh-CN"/>
              </w:rPr>
              <w:t>未达到C级要求。</w:t>
            </w:r>
          </w:p>
        </w:tc>
      </w:tr>
      <w:tr w14:paraId="62EDD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56" w:type="dxa"/>
            <w:tcBorders>
              <w:top w:val="single" w:color="auto" w:sz="4" w:space="0"/>
              <w:left w:val="single" w:color="auto" w:sz="4" w:space="0"/>
              <w:bottom w:val="single" w:color="auto" w:sz="4" w:space="0"/>
              <w:right w:val="single" w:color="auto" w:sz="4" w:space="0"/>
            </w:tcBorders>
            <w:vAlign w:val="center"/>
          </w:tcPr>
          <w:p w14:paraId="4790972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污染治理</w:t>
            </w:r>
          </w:p>
          <w:p w14:paraId="4680338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技术</w:t>
            </w:r>
          </w:p>
        </w:tc>
        <w:tc>
          <w:tcPr>
            <w:tcW w:w="4867" w:type="dxa"/>
            <w:tcBorders>
              <w:left w:val="single" w:color="auto" w:sz="4" w:space="0"/>
              <w:bottom w:val="single" w:color="auto" w:sz="4" w:space="0"/>
            </w:tcBorders>
            <w:vAlign w:val="center"/>
          </w:tcPr>
          <w:p w14:paraId="6321A1A7">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sz w:val="21"/>
                <w:szCs w:val="21"/>
              </w:rPr>
            </w:pPr>
            <w:r>
              <w:rPr>
                <w:rFonts w:hint="eastAsia" w:ascii="Times New Roman" w:hAnsi="Times New Roman" w:cs="Times New Roman"/>
                <w:snapToGrid w:val="0"/>
                <w:color w:val="000000"/>
                <w:kern w:val="0"/>
                <w:sz w:val="21"/>
                <w:szCs w:val="21"/>
                <w:lang w:val="en-US" w:eastAsia="zh-CN" w:bidi="ar-SA"/>
              </w:rPr>
              <w:t>1.</w:t>
            </w:r>
            <w:r>
              <w:rPr>
                <w:rFonts w:hint="default" w:ascii="Times New Roman" w:hAnsi="Times New Roman" w:eastAsia="宋体" w:cs="Times New Roman"/>
                <w:sz w:val="21"/>
                <w:szCs w:val="21"/>
              </w:rPr>
              <w:t>涉 VOCs废气末端使用直接燃烧、吸附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燃烧，处理效率不低于</w:t>
            </w:r>
            <w:r>
              <w:rPr>
                <w:rFonts w:hint="default" w:ascii="Times New Roman" w:hAnsi="Times New Roman" w:eastAsia="宋体" w:cs="Times New Roman"/>
                <w:sz w:val="21"/>
                <w:szCs w:val="21"/>
                <w:lang w:val="en-US" w:eastAsia="zh-CN"/>
              </w:rPr>
              <w:t>9</w:t>
            </w:r>
            <w:r>
              <w:rPr>
                <w:rFonts w:hint="default" w:ascii="Times New Roman" w:hAnsi="Times New Roman" w:cs="Times New Roman"/>
                <w:sz w:val="21"/>
                <w:szCs w:val="21"/>
                <w:lang w:val="en-US" w:eastAsia="zh-CN"/>
              </w:rPr>
              <w:t>5</w:t>
            </w:r>
            <w:r>
              <w:rPr>
                <w:rFonts w:hint="default" w:ascii="Times New Roman" w:hAnsi="Times New Roman" w:eastAsia="宋体" w:cs="Times New Roman"/>
                <w:sz w:val="21"/>
                <w:szCs w:val="21"/>
              </w:rPr>
              <w:t xml:space="preserve">%； </w:t>
            </w:r>
          </w:p>
          <w:p w14:paraId="358391F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使用的全部原辅材料VOCs含量（质量比）均低于10%</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当车 间 或 生 产 设 施 排 气 中 非 甲 烷 总 烃 （NMHC）初始排放速率≥2 kg/h时，建设末端治污设施，处理效率不低于 80%</w:t>
            </w:r>
            <w:r>
              <w:rPr>
                <w:rFonts w:hint="default" w:ascii="Times New Roman" w:hAnsi="Times New Roman" w:cs="Times New Roman"/>
                <w:sz w:val="21"/>
                <w:szCs w:val="21"/>
                <w:lang w:eastAsia="zh-CN"/>
              </w:rPr>
              <w:t>；</w:t>
            </w:r>
          </w:p>
          <w:p w14:paraId="45798C7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w:t>
            </w:r>
            <w:r>
              <w:rPr>
                <w:rFonts w:hint="eastAsia" w:ascii="Times New Roman" w:hAnsi="Times New Roman" w:cs="Times New Roman"/>
                <w:b w:val="0"/>
                <w:bCs w:val="0"/>
                <w:spacing w:val="6"/>
                <w:sz w:val="21"/>
                <w:szCs w:val="21"/>
                <w:lang w:val="en-US" w:eastAsia="zh-CN"/>
              </w:rPr>
              <w:t>涉及</w:t>
            </w:r>
            <w:r>
              <w:rPr>
                <w:rFonts w:hint="default" w:ascii="Times New Roman" w:hAnsi="Times New Roman" w:eastAsia="宋体" w:cs="Times New Roman"/>
                <w:b w:val="0"/>
                <w:bCs w:val="0"/>
                <w:spacing w:val="6"/>
                <w:sz w:val="21"/>
                <w:szCs w:val="21"/>
                <w:lang w:val="en-US" w:eastAsia="zh-CN"/>
              </w:rPr>
              <w:t>锅炉/炉窑企业</w:t>
            </w:r>
            <w:r>
              <w:rPr>
                <w:rFonts w:hint="default" w:ascii="Times New Roman" w:hAnsi="Times New Roman" w:cs="Times New Roman"/>
                <w:b w:val="0"/>
                <w:bCs w:val="0"/>
                <w:spacing w:val="6"/>
                <w:sz w:val="21"/>
                <w:szCs w:val="21"/>
                <w:lang w:val="en-US" w:eastAsia="zh-CN"/>
              </w:rPr>
              <w:t>相应绩效分级指标</w:t>
            </w:r>
            <w:r>
              <w:rPr>
                <w:rFonts w:hint="default" w:ascii="Times New Roman" w:hAnsi="Times New Roman" w:eastAsia="宋体" w:cs="Times New Roman"/>
                <w:sz w:val="21"/>
                <w:szCs w:val="21"/>
                <w:lang w:eastAsia="zh-CN"/>
              </w:rPr>
              <w:t>；</w:t>
            </w:r>
          </w:p>
          <w:p w14:paraId="6A1BAB2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 xml:space="preserve">其他工序（非锅炉/炉窑） </w:t>
            </w:r>
          </w:p>
          <w:p w14:paraId="0F9F4A3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PM采用袋式除尘或其他先进除尘工艺</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 xml:space="preserve"> </w:t>
            </w:r>
          </w:p>
          <w:p w14:paraId="1D5B7C7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p>
        </w:tc>
        <w:tc>
          <w:tcPr>
            <w:tcW w:w="4065" w:type="dxa"/>
            <w:tcBorders>
              <w:bottom w:val="single" w:color="auto" w:sz="4" w:space="0"/>
            </w:tcBorders>
            <w:vAlign w:val="center"/>
          </w:tcPr>
          <w:p w14:paraId="5773EA7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涉 VOCs 废气末端使用直接燃烧、吸附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燃烧，或吸附、生物净化、吸附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冷凝回收、喷淋洗涤</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静电等两种及以上治理工艺，处理效率不低于 8</w:t>
            </w:r>
            <w:r>
              <w:rPr>
                <w:rFonts w:hint="default" w:ascii="Times New Roman" w:hAnsi="Times New Roman" w:cs="Times New Roman"/>
                <w:sz w:val="21"/>
                <w:szCs w:val="21"/>
                <w:lang w:val="en-US" w:eastAsia="zh-CN"/>
              </w:rPr>
              <w:t>5</w:t>
            </w:r>
            <w:r>
              <w:rPr>
                <w:rFonts w:hint="default" w:ascii="Times New Roman" w:hAnsi="Times New Roman" w:eastAsia="宋体" w:cs="Times New Roman"/>
                <w:sz w:val="21"/>
                <w:szCs w:val="21"/>
              </w:rPr>
              <w:t xml:space="preserve">%； </w:t>
            </w:r>
          </w:p>
          <w:p w14:paraId="311AF8F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2.</w:t>
            </w:r>
            <w:r>
              <w:rPr>
                <w:rFonts w:hint="default" w:ascii="Times New Roman" w:hAnsi="Times New Roman" w:cs="Times New Roman"/>
                <w:sz w:val="21"/>
                <w:szCs w:val="21"/>
                <w:lang w:val="en-US" w:eastAsia="zh-CN"/>
              </w:rPr>
              <w:t>同A级第2条要求</w:t>
            </w:r>
            <w:r>
              <w:rPr>
                <w:rFonts w:hint="default" w:ascii="Times New Roman" w:hAnsi="Times New Roman" w:cs="Times New Roman"/>
                <w:sz w:val="21"/>
                <w:szCs w:val="21"/>
                <w:lang w:eastAsia="zh-CN"/>
              </w:rPr>
              <w:t>；</w:t>
            </w:r>
          </w:p>
          <w:p w14:paraId="176815B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sz w:val="21"/>
                <w:szCs w:val="21"/>
              </w:rPr>
              <w:t>同A级第</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条要求；</w:t>
            </w:r>
          </w:p>
          <w:p w14:paraId="23E2358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lang w:eastAsia="zh-CN"/>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同A级第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val="en-US" w:eastAsia="zh-CN"/>
              </w:rPr>
              <w:t>。</w:t>
            </w:r>
          </w:p>
        </w:tc>
        <w:tc>
          <w:tcPr>
            <w:tcW w:w="3142" w:type="dxa"/>
            <w:tcBorders>
              <w:left w:val="single" w:color="auto" w:sz="4" w:space="0"/>
              <w:bottom w:val="single" w:color="auto" w:sz="4" w:space="0"/>
            </w:tcBorders>
            <w:vAlign w:val="center"/>
          </w:tcPr>
          <w:p w14:paraId="733D560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涉 VOCs 废气建设末端治污设施 ， 处理效率不低于 80%；</w:t>
            </w:r>
          </w:p>
          <w:p w14:paraId="00B4C13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使用的全部原辅材料VOCs含量（质量比）均低于10%</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当车 间 或 生 产 设 施 排 气 中 非 甲 烷 总 烃 （NMHC）初始排放速率≥2 kg/h时，建设末端治污设施</w:t>
            </w:r>
          </w:p>
          <w:p w14:paraId="1CE91ED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sz w:val="21"/>
                <w:szCs w:val="21"/>
              </w:rPr>
              <w:t>同A级第</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条要求；</w:t>
            </w:r>
          </w:p>
          <w:p w14:paraId="65EF549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同A级第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val="en-US" w:eastAsia="zh-CN"/>
              </w:rPr>
              <w:t>。</w:t>
            </w:r>
          </w:p>
        </w:tc>
        <w:tc>
          <w:tcPr>
            <w:tcW w:w="1402" w:type="dxa"/>
            <w:tcBorders>
              <w:left w:val="single" w:color="auto" w:sz="4" w:space="0"/>
              <w:bottom w:val="single" w:color="auto" w:sz="4" w:space="0"/>
            </w:tcBorders>
            <w:vAlign w:val="center"/>
          </w:tcPr>
          <w:p w14:paraId="1A7A70A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cs="Times New Roman"/>
                <w:b w:val="0"/>
                <w:bCs w:val="0"/>
                <w:spacing w:val="6"/>
                <w:sz w:val="21"/>
                <w:szCs w:val="21"/>
                <w:lang w:val="en-US" w:eastAsia="zh-CN"/>
              </w:rPr>
              <w:t>未达到C级要求。</w:t>
            </w:r>
          </w:p>
        </w:tc>
      </w:tr>
      <w:tr w14:paraId="76C08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256" w:type="dxa"/>
            <w:tcBorders>
              <w:top w:val="single" w:color="auto" w:sz="4" w:space="0"/>
              <w:left w:val="single" w:color="auto" w:sz="4" w:space="0"/>
              <w:bottom w:val="single" w:color="auto" w:sz="4" w:space="0"/>
              <w:right w:val="single" w:color="auto" w:sz="4" w:space="0"/>
            </w:tcBorders>
            <w:vAlign w:val="center"/>
          </w:tcPr>
          <w:p w14:paraId="2F435C4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eastAsia="宋体" w:cs="Times New Roman"/>
                <w:sz w:val="21"/>
                <w:szCs w:val="21"/>
              </w:rPr>
              <w:t>无组织管控</w:t>
            </w:r>
          </w:p>
        </w:tc>
        <w:tc>
          <w:tcPr>
            <w:tcW w:w="4867" w:type="dxa"/>
            <w:tcBorders>
              <w:left w:val="single" w:color="auto" w:sz="4" w:space="0"/>
            </w:tcBorders>
          </w:tcPr>
          <w:p w14:paraId="2C829D9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 xml:space="preserve">粉状物料存于封闭的储存设施，车辆进出口安装封闭性良好的硬质门或自动门； </w:t>
            </w:r>
          </w:p>
          <w:p w14:paraId="23CC41F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 xml:space="preserve">VOCs物料储于密闭的容器、包装袋、储罐、储库、料仓中；盛装VOCs物料的容器或包装袋在非取用状态时应加盖、封口，保持密闭； </w:t>
            </w:r>
          </w:p>
          <w:p w14:paraId="52E3FC4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配料、混料等产尘工序在封闭厂房内进行，采取</w:t>
            </w:r>
            <w:r>
              <w:rPr>
                <w:rFonts w:hint="default" w:ascii="Times New Roman" w:hAnsi="Times New Roman" w:cs="Times New Roman"/>
                <w:sz w:val="21"/>
                <w:szCs w:val="21"/>
                <w:lang w:val="en-US" w:eastAsia="zh-CN"/>
              </w:rPr>
              <w:t>抑尘</w:t>
            </w:r>
            <w:r>
              <w:rPr>
                <w:rFonts w:hint="default" w:ascii="Times New Roman" w:hAnsi="Times New Roman" w:eastAsia="宋体" w:cs="Times New Roman"/>
                <w:sz w:val="21"/>
                <w:szCs w:val="21"/>
              </w:rPr>
              <w:t>措施，</w:t>
            </w:r>
            <w:r>
              <w:rPr>
                <w:rFonts w:hint="default" w:ascii="Times New Roman" w:hAnsi="Times New Roman" w:cs="Times New Roman"/>
                <w:sz w:val="21"/>
                <w:szCs w:val="21"/>
                <w:lang w:val="en-US" w:eastAsia="zh-CN"/>
              </w:rPr>
              <w:t>并</w:t>
            </w:r>
            <w:r>
              <w:rPr>
                <w:rFonts w:hint="default" w:ascii="Times New Roman" w:hAnsi="Times New Roman" w:eastAsia="宋体" w:cs="Times New Roman"/>
                <w:sz w:val="21"/>
                <w:szCs w:val="21"/>
              </w:rPr>
              <w:t xml:space="preserve">设置集气和除尘设施； </w:t>
            </w:r>
          </w:p>
          <w:p w14:paraId="62055CB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 xml:space="preserve">厂内地面全部硬化或绿化，车间内干净整洁，无散落物料； </w:t>
            </w:r>
          </w:p>
          <w:p w14:paraId="4B03853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5.</w:t>
            </w:r>
            <w:r>
              <w:rPr>
                <w:rFonts w:hint="default" w:ascii="Times New Roman" w:hAnsi="Times New Roman" w:eastAsia="宋体" w:cs="Times New Roman"/>
                <w:sz w:val="21"/>
                <w:szCs w:val="21"/>
              </w:rPr>
              <w:t xml:space="preserve">贮存易产生粉尘、VOCs、有毒有害大气污染物和异味的危险废物贮存库，设有废气收集装置和处理设施，废气处理设施的排气筒高度不低于15m； </w:t>
            </w:r>
          </w:p>
          <w:p w14:paraId="21FCB3D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6.</w:t>
            </w:r>
            <w:r>
              <w:rPr>
                <w:rFonts w:hint="default" w:ascii="Times New Roman" w:hAnsi="Times New Roman" w:eastAsia="宋体" w:cs="Times New Roman"/>
                <w:sz w:val="21"/>
                <w:szCs w:val="21"/>
              </w:rPr>
              <w:t>VOCs 物料的投加和卸放、配料、混合、搅拌、包装等过程，采用密闭设备</w:t>
            </w:r>
            <w:r>
              <w:rPr>
                <w:rFonts w:hint="eastAsia" w:ascii="Times New Roman" w:hAnsi="Times New Roman" w:cs="Times New Roman"/>
                <w:sz w:val="21"/>
                <w:szCs w:val="21"/>
                <w:lang w:eastAsia="zh-CN"/>
              </w:rPr>
              <w:t>，将</w:t>
            </w:r>
            <w:r>
              <w:rPr>
                <w:rFonts w:hint="default" w:ascii="Times New Roman" w:hAnsi="Times New Roman" w:eastAsia="宋体" w:cs="Times New Roman"/>
                <w:sz w:val="21"/>
                <w:szCs w:val="21"/>
              </w:rPr>
              <w:t xml:space="preserve">废气负压引至VOCs废气收集处理系统； </w:t>
            </w:r>
          </w:p>
          <w:p w14:paraId="7A700BE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7.</w:t>
            </w:r>
            <w:r>
              <w:rPr>
                <w:rFonts w:hint="default" w:ascii="Times New Roman" w:hAnsi="Times New Roman" w:eastAsia="宋体" w:cs="Times New Roman"/>
                <w:sz w:val="21"/>
                <w:szCs w:val="21"/>
              </w:rPr>
              <w:t xml:space="preserve">涉 VOCs物料生产设施采用密闭设备，废气负压引至 VOCs 废气收集处理系统； </w:t>
            </w:r>
          </w:p>
          <w:p w14:paraId="49EE5E3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8.</w:t>
            </w:r>
            <w:r>
              <w:rPr>
                <w:rFonts w:hint="default" w:ascii="Times New Roman" w:hAnsi="Times New Roman" w:eastAsia="宋体" w:cs="Times New Roman"/>
                <w:sz w:val="21"/>
                <w:szCs w:val="21"/>
              </w:rPr>
              <w:t xml:space="preserve">废水收集与处理环节：废水储存、处理设施产生的恶臭气体，在曝气池之前以及污泥浓缩池加盖密闭或采取其他密闭措施，并排气至废气治理设施； </w:t>
            </w:r>
          </w:p>
          <w:p w14:paraId="4B3232F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sz w:val="21"/>
                <w:szCs w:val="21"/>
                <w:lang w:eastAsia="zh-CN"/>
              </w:rPr>
              <w:t>9.</w:t>
            </w:r>
            <w:r>
              <w:rPr>
                <w:rFonts w:hint="default" w:ascii="Times New Roman" w:hAnsi="Times New Roman" w:eastAsia="宋体" w:cs="Times New Roman"/>
                <w:sz w:val="21"/>
                <w:szCs w:val="21"/>
              </w:rPr>
              <w:t>废水处理设施加盖密闭，并配备废气收集处理设施，恶臭气体采用低温等离子、光氧化、活性炭吸附、生物 法等两级及以上串联技术。</w:t>
            </w:r>
          </w:p>
        </w:tc>
        <w:tc>
          <w:tcPr>
            <w:tcW w:w="4065" w:type="dxa"/>
            <w:vAlign w:val="center"/>
          </w:tcPr>
          <w:p w14:paraId="6B51E1C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同A级第1条要求；</w:t>
            </w:r>
          </w:p>
          <w:p w14:paraId="6696F35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 xml:space="preserve">同A级第2条要求； </w:t>
            </w:r>
          </w:p>
          <w:p w14:paraId="2298AF1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 xml:space="preserve">同A级第3条要求； </w:t>
            </w:r>
          </w:p>
          <w:p w14:paraId="28430A5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 xml:space="preserve">同A级第4条要求； </w:t>
            </w:r>
          </w:p>
          <w:p w14:paraId="5B6A872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5.</w:t>
            </w:r>
            <w:r>
              <w:rPr>
                <w:rFonts w:hint="default" w:ascii="Times New Roman" w:hAnsi="Times New Roman" w:eastAsia="宋体" w:cs="Times New Roman"/>
                <w:sz w:val="21"/>
                <w:szCs w:val="21"/>
              </w:rPr>
              <w:t xml:space="preserve">同A级第5条要求； </w:t>
            </w:r>
          </w:p>
          <w:p w14:paraId="6FFB8DD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6.</w:t>
            </w:r>
            <w:r>
              <w:rPr>
                <w:rFonts w:hint="default" w:ascii="Times New Roman" w:hAnsi="Times New Roman" w:eastAsia="宋体" w:cs="Times New Roman"/>
                <w:sz w:val="21"/>
                <w:szCs w:val="21"/>
              </w:rPr>
              <w:t>VOCs物料的投加和卸放、配料、混合、搅拌、包装等过程，采用密闭设备</w:t>
            </w:r>
            <w:r>
              <w:rPr>
                <w:rFonts w:hint="default" w:ascii="Times New Roman" w:hAnsi="Times New Roman" w:cs="Times New Roman"/>
                <w:sz w:val="21"/>
                <w:szCs w:val="21"/>
                <w:lang w:val="en-US" w:eastAsia="zh-CN"/>
              </w:rPr>
              <w:t>或者在密闭空间内操作</w:t>
            </w:r>
            <w:r>
              <w:rPr>
                <w:rFonts w:hint="default" w:ascii="Times New Roman" w:hAnsi="Times New Roman" w:eastAsia="宋体" w:cs="Times New Roman"/>
                <w:sz w:val="21"/>
                <w:szCs w:val="21"/>
              </w:rPr>
              <w:t xml:space="preserve">，废气负压引至VOCs废气收集处理系统； </w:t>
            </w:r>
          </w:p>
          <w:p w14:paraId="11FB5BF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7.</w:t>
            </w:r>
            <w:r>
              <w:rPr>
                <w:rFonts w:hint="default" w:ascii="Times New Roman" w:hAnsi="Times New Roman" w:eastAsia="宋体" w:cs="Times New Roman"/>
                <w:sz w:val="21"/>
                <w:szCs w:val="21"/>
              </w:rPr>
              <w:t>涉 VOCs物料生产设施采用密闭设备</w:t>
            </w:r>
            <w:r>
              <w:rPr>
                <w:rFonts w:hint="default" w:ascii="Times New Roman" w:hAnsi="Times New Roman" w:cs="Times New Roman"/>
                <w:sz w:val="21"/>
                <w:szCs w:val="21"/>
                <w:lang w:val="en-US" w:eastAsia="zh-CN"/>
              </w:rPr>
              <w:t>或者在密闭空间内操作</w:t>
            </w:r>
            <w:r>
              <w:rPr>
                <w:rFonts w:hint="default" w:ascii="Times New Roman" w:hAnsi="Times New Roman" w:eastAsia="宋体" w:cs="Times New Roman"/>
                <w:sz w:val="21"/>
                <w:szCs w:val="21"/>
              </w:rPr>
              <w:t>，废气负压引至VOCs 废气收集处理系统；</w:t>
            </w:r>
          </w:p>
          <w:p w14:paraId="1D90BF9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同A级第9条要求。</w:t>
            </w:r>
          </w:p>
        </w:tc>
        <w:tc>
          <w:tcPr>
            <w:tcW w:w="3142" w:type="dxa"/>
            <w:vAlign w:val="center"/>
          </w:tcPr>
          <w:p w14:paraId="5045907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cs="Times New Roman"/>
                <w:sz w:val="21"/>
                <w:szCs w:val="21"/>
                <w:lang w:eastAsia="zh-CN"/>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粉状物料存于封闭的储存设施</w:t>
            </w:r>
            <w:r>
              <w:rPr>
                <w:rFonts w:hint="default" w:ascii="Times New Roman" w:hAnsi="Times New Roman" w:cs="Times New Roman"/>
                <w:sz w:val="21"/>
                <w:szCs w:val="21"/>
                <w:lang w:eastAsia="zh-CN"/>
              </w:rPr>
              <w:t>；</w:t>
            </w:r>
          </w:p>
          <w:p w14:paraId="01D1B59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级第2条要求； </w:t>
            </w:r>
          </w:p>
          <w:p w14:paraId="696E9F2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级第3条要求； </w:t>
            </w:r>
          </w:p>
          <w:p w14:paraId="1067064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级第4条要求； </w:t>
            </w:r>
          </w:p>
          <w:p w14:paraId="67BCFAD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5.</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级第</w:t>
            </w:r>
            <w:r>
              <w:rPr>
                <w:rFonts w:hint="default" w:ascii="Times New Roman" w:hAnsi="Times New Roman" w:cs="Times New Roman"/>
                <w:sz w:val="21"/>
                <w:szCs w:val="21"/>
                <w:lang w:val="en-US" w:eastAsia="zh-CN"/>
              </w:rPr>
              <w:t>6</w:t>
            </w:r>
            <w:r>
              <w:rPr>
                <w:rFonts w:hint="default" w:ascii="Times New Roman" w:hAnsi="Times New Roman" w:eastAsia="宋体" w:cs="Times New Roman"/>
                <w:sz w:val="21"/>
                <w:szCs w:val="21"/>
              </w:rPr>
              <w:t xml:space="preserve">条要求； </w:t>
            </w:r>
          </w:p>
          <w:p w14:paraId="50D5571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级第</w:t>
            </w:r>
            <w:r>
              <w:rPr>
                <w:rFonts w:hint="default" w:ascii="Times New Roman" w:hAnsi="Times New Roman" w:cs="Times New Roman"/>
                <w:sz w:val="21"/>
                <w:szCs w:val="21"/>
                <w:lang w:val="en-US" w:eastAsia="zh-CN"/>
              </w:rPr>
              <w:t>7</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eastAsia="zh-CN"/>
              </w:rPr>
              <w:t>。</w:t>
            </w:r>
          </w:p>
        </w:tc>
        <w:tc>
          <w:tcPr>
            <w:tcW w:w="1402" w:type="dxa"/>
            <w:vAlign w:val="center"/>
          </w:tcPr>
          <w:p w14:paraId="7F063A5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b w:val="0"/>
                <w:bCs w:val="0"/>
                <w:spacing w:val="6"/>
                <w:sz w:val="21"/>
                <w:szCs w:val="21"/>
                <w:lang w:val="en-US" w:eastAsia="zh-CN"/>
              </w:rPr>
              <w:t>未达到C级要求。</w:t>
            </w:r>
          </w:p>
        </w:tc>
      </w:tr>
      <w:tr w14:paraId="0242F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0" w:hRule="atLeast"/>
        </w:trPr>
        <w:tc>
          <w:tcPr>
            <w:tcW w:w="1256" w:type="dxa"/>
            <w:shd w:val="clear" w:color="auto" w:fill="auto"/>
            <w:vAlign w:val="center"/>
          </w:tcPr>
          <w:p w14:paraId="051C2B9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排放限值</w:t>
            </w:r>
          </w:p>
        </w:tc>
        <w:tc>
          <w:tcPr>
            <w:tcW w:w="4867" w:type="dxa"/>
            <w:tcBorders>
              <w:top w:val="single" w:color="auto" w:sz="4" w:space="0"/>
              <w:bottom w:val="single" w:color="auto" w:sz="4" w:space="0"/>
              <w:right w:val="single" w:color="auto" w:sz="4" w:space="0"/>
            </w:tcBorders>
            <w:shd w:val="clear" w:color="auto" w:fill="auto"/>
          </w:tcPr>
          <w:p w14:paraId="0F75DCD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sz w:val="21"/>
                <w:szCs w:val="21"/>
                <w:vertAlign w:val="superscript"/>
                <w:lang w:eastAsia="zh-CN"/>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印花、定型、涂层VOCs</w:t>
            </w:r>
            <w:r>
              <w:rPr>
                <w:rFonts w:hint="default" w:ascii="Times New Roman" w:hAnsi="Times New Roman" w:cs="Times New Roman"/>
                <w:b w:val="0"/>
                <w:bCs w:val="0"/>
                <w:spacing w:val="6"/>
                <w:sz w:val="21"/>
                <w:szCs w:val="21"/>
                <w:lang w:val="en-US" w:eastAsia="zh-CN"/>
              </w:rPr>
              <w:t>排放限值要求：</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0mg/m</w:t>
            </w:r>
            <w:r>
              <w:rPr>
                <w:rFonts w:hint="default" w:ascii="Times New Roman" w:hAnsi="Times New Roman" w:eastAsia="宋体" w:cs="Times New Roman"/>
                <w:sz w:val="21"/>
                <w:szCs w:val="21"/>
                <w:vertAlign w:val="superscript"/>
              </w:rPr>
              <w:t>3</w:t>
            </w:r>
            <w:r>
              <w:rPr>
                <w:rFonts w:hint="default" w:ascii="Times New Roman" w:hAnsi="Times New Roman" w:cs="Times New Roman"/>
                <w:b w:val="0"/>
                <w:bCs w:val="0"/>
                <w:spacing w:val="6"/>
                <w:sz w:val="21"/>
                <w:szCs w:val="21"/>
                <w:lang w:val="en-US" w:eastAsia="zh-CN"/>
              </w:rPr>
              <w:t>；</w:t>
            </w:r>
          </w:p>
          <w:p w14:paraId="113892C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满足《挥发性有机物无组织排放控制标准》（GB 37822-2019）特别控制要求；</w:t>
            </w:r>
          </w:p>
          <w:p w14:paraId="7E15BBF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各生产工序有组织PM排放限值要求：10mg/m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26A2D58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厂界 1h 非甲烷总烃排放限值要求：2mg/m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2F19C50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6"/>
                <w:sz w:val="21"/>
                <w:szCs w:val="21"/>
                <w:lang w:val="en-US" w:eastAsia="zh-CN"/>
              </w:rPr>
              <w:t>5.</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排放限值执行通用行业应急减排措施制定技术指南涉锅炉/炉窑企业相应绩效分级指标</w:t>
            </w:r>
            <w:r>
              <w:rPr>
                <w:rFonts w:hint="default" w:ascii="Times New Roman" w:hAnsi="Times New Roman" w:eastAsia="宋体" w:cs="Times New Roman"/>
                <w:b w:val="0"/>
                <w:bCs w:val="0"/>
                <w:spacing w:val="6"/>
                <w:sz w:val="21"/>
                <w:szCs w:val="21"/>
              </w:rPr>
              <w:t>。</w:t>
            </w:r>
          </w:p>
        </w:tc>
        <w:tc>
          <w:tcPr>
            <w:tcW w:w="4065" w:type="dxa"/>
            <w:tcBorders>
              <w:top w:val="single" w:color="auto" w:sz="4" w:space="0"/>
              <w:left w:val="single" w:color="auto" w:sz="4" w:space="0"/>
              <w:bottom w:val="single" w:color="auto" w:sz="4" w:space="0"/>
            </w:tcBorders>
            <w:shd w:val="clear" w:color="auto" w:fill="auto"/>
            <w:vAlign w:val="center"/>
          </w:tcPr>
          <w:p w14:paraId="2EFE193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sz w:val="21"/>
                <w:szCs w:val="21"/>
                <w:vertAlign w:val="superscript"/>
                <w:lang w:eastAsia="zh-CN"/>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印花、定型、涂层VOCs</w:t>
            </w:r>
            <w:r>
              <w:rPr>
                <w:rFonts w:hint="default" w:ascii="Times New Roman" w:hAnsi="Times New Roman" w:cs="Times New Roman"/>
                <w:b w:val="0"/>
                <w:bCs w:val="0"/>
                <w:spacing w:val="6"/>
                <w:sz w:val="21"/>
                <w:szCs w:val="21"/>
                <w:lang w:val="en-US" w:eastAsia="zh-CN"/>
              </w:rPr>
              <w:t>排放限值要求：</w:t>
            </w:r>
            <w:r>
              <w:rPr>
                <w:rFonts w:hint="default" w:ascii="Times New Roman" w:hAnsi="Times New Roman" w:cs="Times New Roman"/>
                <w:sz w:val="21"/>
                <w:szCs w:val="21"/>
                <w:lang w:val="en-US" w:eastAsia="zh-CN"/>
              </w:rPr>
              <w:t>6</w:t>
            </w:r>
            <w:r>
              <w:rPr>
                <w:rFonts w:hint="default" w:ascii="Times New Roman" w:hAnsi="Times New Roman" w:eastAsia="宋体" w:cs="Times New Roman"/>
                <w:sz w:val="21"/>
                <w:szCs w:val="21"/>
              </w:rPr>
              <w:t>0mg/m</w:t>
            </w:r>
            <w:r>
              <w:rPr>
                <w:rFonts w:hint="default" w:ascii="Times New Roman" w:hAnsi="Times New Roman" w:eastAsia="宋体" w:cs="Times New Roman"/>
                <w:sz w:val="21"/>
                <w:szCs w:val="21"/>
                <w:vertAlign w:val="superscript"/>
              </w:rPr>
              <w:t>3</w:t>
            </w:r>
            <w:r>
              <w:rPr>
                <w:rFonts w:hint="default" w:ascii="Times New Roman" w:hAnsi="Times New Roman" w:cs="Times New Roman"/>
                <w:b w:val="0"/>
                <w:bCs w:val="0"/>
                <w:spacing w:val="6"/>
                <w:sz w:val="21"/>
                <w:szCs w:val="21"/>
                <w:lang w:val="en-US" w:eastAsia="zh-CN"/>
              </w:rPr>
              <w:t>；</w:t>
            </w:r>
          </w:p>
          <w:p w14:paraId="54A324F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同A级</w:t>
            </w:r>
            <w:r>
              <w:rPr>
                <w:rFonts w:hint="default" w:ascii="Times New Roman" w:hAnsi="Times New Roman" w:eastAsia="宋体" w:cs="Times New Roman"/>
                <w:sz w:val="21"/>
                <w:szCs w:val="21"/>
              </w:rPr>
              <w:t>第</w:t>
            </w:r>
            <w:r>
              <w:rPr>
                <w:rFonts w:hint="default" w:ascii="Times New Roman" w:hAnsi="Times New Roman" w:cs="Times New Roman"/>
                <w:sz w:val="21"/>
                <w:szCs w:val="21"/>
                <w:lang w:val="en-US" w:eastAsia="zh-CN"/>
              </w:rPr>
              <w:t>2</w:t>
            </w:r>
            <w:r>
              <w:rPr>
                <w:rFonts w:hint="default" w:ascii="Times New Roman" w:hAnsi="Times New Roman" w:eastAsia="宋体" w:cs="Times New Roman"/>
                <w:sz w:val="21"/>
                <w:szCs w:val="21"/>
              </w:rPr>
              <w:t>条要求</w:t>
            </w:r>
            <w:r>
              <w:rPr>
                <w:rFonts w:hint="default" w:ascii="Times New Roman" w:hAnsi="Times New Roman" w:cs="Times New Roman"/>
                <w:b w:val="0"/>
                <w:bCs w:val="0"/>
                <w:spacing w:val="6"/>
                <w:sz w:val="21"/>
                <w:szCs w:val="21"/>
                <w:lang w:val="en-US" w:eastAsia="zh-CN"/>
              </w:rPr>
              <w:t>；</w:t>
            </w:r>
          </w:p>
          <w:p w14:paraId="180D62B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各生产工序有组织PM排放限值要求：20mg/m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48F8D41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sz w:val="21"/>
                <w:szCs w:val="21"/>
                <w:lang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同A级</w:t>
            </w:r>
            <w:r>
              <w:rPr>
                <w:rFonts w:hint="default" w:ascii="Times New Roman" w:hAnsi="Times New Roman" w:eastAsia="宋体" w:cs="Times New Roman"/>
                <w:sz w:val="21"/>
                <w:szCs w:val="21"/>
              </w:rPr>
              <w:t>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eastAsia="zh-CN"/>
              </w:rPr>
              <w:t>；</w:t>
            </w:r>
          </w:p>
          <w:p w14:paraId="41A923A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sz w:val="21"/>
                <w:szCs w:val="21"/>
                <w:lang w:val="en-US" w:eastAsia="zh-CN"/>
              </w:rPr>
              <w:t>5.</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排放限值执行通用行业应急减排措施制定技术指南涉锅炉/炉窑企业相应绩效分级指标</w:t>
            </w:r>
            <w:r>
              <w:rPr>
                <w:rFonts w:hint="default" w:ascii="Times New Roman" w:hAnsi="Times New Roman" w:eastAsia="宋体" w:cs="Times New Roman"/>
                <w:b w:val="0"/>
                <w:bCs w:val="0"/>
                <w:spacing w:val="6"/>
                <w:sz w:val="21"/>
                <w:szCs w:val="21"/>
              </w:rPr>
              <w:t>。</w:t>
            </w:r>
          </w:p>
        </w:tc>
        <w:tc>
          <w:tcPr>
            <w:tcW w:w="4544" w:type="dxa"/>
            <w:gridSpan w:val="2"/>
            <w:tcBorders>
              <w:top w:val="single" w:color="auto" w:sz="4" w:space="0"/>
              <w:bottom w:val="single" w:color="auto" w:sz="4" w:space="0"/>
              <w:right w:val="single" w:color="auto" w:sz="4" w:space="0"/>
            </w:tcBorders>
            <w:shd w:val="clear" w:color="auto" w:fill="auto"/>
            <w:vAlign w:val="center"/>
          </w:tcPr>
          <w:p w14:paraId="6F9B3AC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未达到B级要求，但需满足相关排放标准要求。</w:t>
            </w:r>
          </w:p>
        </w:tc>
      </w:tr>
      <w:tr w14:paraId="2755F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1256" w:type="dxa"/>
            <w:shd w:val="clear" w:color="auto" w:fill="auto"/>
            <w:vAlign w:val="center"/>
          </w:tcPr>
          <w:p w14:paraId="28078484">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监控监测</w:t>
            </w:r>
          </w:p>
          <w:p w14:paraId="1272B97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水平</w:t>
            </w:r>
          </w:p>
        </w:tc>
        <w:tc>
          <w:tcPr>
            <w:tcW w:w="8932" w:type="dxa"/>
            <w:gridSpan w:val="2"/>
            <w:tcBorders>
              <w:top w:val="single" w:color="auto" w:sz="4" w:space="0"/>
              <w:bottom w:val="single" w:color="auto" w:sz="4" w:space="0"/>
            </w:tcBorders>
            <w:shd w:val="clear" w:color="auto" w:fill="auto"/>
            <w:vAlign w:val="center"/>
          </w:tcPr>
          <w:p w14:paraId="533D022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1.</w:t>
            </w:r>
            <w:r>
              <w:rPr>
                <w:rFonts w:hint="default" w:ascii="Times New Roman" w:hAnsi="Times New Roman" w:eastAsia="宋体" w:cs="Times New Roman"/>
                <w:b w:val="0"/>
                <w:bCs w:val="0"/>
                <w:spacing w:val="7"/>
                <w:sz w:val="21"/>
                <w:szCs w:val="21"/>
                <w:highlight w:val="none"/>
                <w:lang w:val="en-US" w:eastAsia="en-US"/>
              </w:rPr>
              <w:t>重点排污单位及排污许可重点管理单位主要排放口均需安装CEMS（不含以电、余热蒸汽为热源的锅炉；按照排污许可要求设置监测参数），采用SCR/SNCR脱硝的排放口需安装氨逃逸在线监测，并按要求与省级主管部门联网，数据</w:t>
            </w:r>
            <w:r>
              <w:rPr>
                <w:rFonts w:hint="eastAsia" w:ascii="Times New Roman" w:hAnsi="Times New Roman" w:cs="Times New Roman"/>
                <w:b w:val="0"/>
                <w:bCs w:val="0"/>
                <w:spacing w:val="7"/>
                <w:sz w:val="21"/>
                <w:szCs w:val="21"/>
                <w:highlight w:val="none"/>
                <w:lang w:val="en-US" w:eastAsia="zh-CN"/>
              </w:rPr>
              <w:t>至少要保存一年</w:t>
            </w:r>
            <w:r>
              <w:rPr>
                <w:rFonts w:hint="default" w:ascii="Times New Roman" w:hAnsi="Times New Roman" w:eastAsia="宋体" w:cs="Times New Roman"/>
                <w:b w:val="0"/>
                <w:bCs w:val="0"/>
                <w:spacing w:val="7"/>
                <w:sz w:val="21"/>
                <w:szCs w:val="21"/>
                <w:highlight w:val="none"/>
                <w:lang w:val="en-US" w:eastAsia="en-US"/>
              </w:rPr>
              <w:t>；</w:t>
            </w:r>
          </w:p>
          <w:p w14:paraId="2BDDFE0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2.</w:t>
            </w:r>
            <w:r>
              <w:rPr>
                <w:rFonts w:hint="default" w:ascii="Times New Roman" w:hAnsi="Times New Roman" w:eastAsia="宋体" w:cs="Times New Roman"/>
                <w:b w:val="0"/>
                <w:bCs w:val="0"/>
                <w:spacing w:val="7"/>
                <w:sz w:val="21"/>
                <w:szCs w:val="21"/>
                <w:highlight w:val="none"/>
                <w:lang w:val="en-US" w:eastAsia="en-US"/>
              </w:rPr>
              <w:t>企业主要生产设施及环保设施安装分布式控制系统（DCS），记录企业环保设施运行及相关生产过程主要参数，数据</w:t>
            </w:r>
            <w:r>
              <w:rPr>
                <w:rFonts w:hint="eastAsia" w:ascii="Times New Roman" w:hAnsi="Times New Roman" w:cs="Times New Roman"/>
                <w:b w:val="0"/>
                <w:bCs w:val="0"/>
                <w:spacing w:val="7"/>
                <w:sz w:val="21"/>
                <w:szCs w:val="21"/>
                <w:highlight w:val="none"/>
                <w:lang w:val="en-US" w:eastAsia="zh-CN"/>
              </w:rPr>
              <w:t>至少要保存五年</w:t>
            </w:r>
            <w:r>
              <w:rPr>
                <w:rFonts w:hint="default" w:ascii="Times New Roman" w:hAnsi="Times New Roman" w:eastAsia="宋体" w:cs="Times New Roman"/>
                <w:b w:val="0"/>
                <w:bCs w:val="0"/>
                <w:spacing w:val="7"/>
                <w:sz w:val="21"/>
                <w:szCs w:val="21"/>
                <w:highlight w:val="none"/>
                <w:lang w:val="en-US" w:eastAsia="en-US"/>
              </w:rPr>
              <w:t>；</w:t>
            </w:r>
          </w:p>
          <w:p w14:paraId="08D6A36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3.</w:t>
            </w:r>
            <w:r>
              <w:rPr>
                <w:rFonts w:hint="default" w:ascii="Times New Roman" w:hAnsi="Times New Roman" w:eastAsia="宋体" w:cs="Times New Roman"/>
                <w:b w:val="0"/>
                <w:bCs w:val="0"/>
                <w:spacing w:val="7"/>
                <w:sz w:val="21"/>
                <w:szCs w:val="21"/>
                <w:highlight w:val="none"/>
                <w:lang w:val="en-US" w:eastAsia="en-US"/>
              </w:rPr>
              <w:t>主要涉气生产装置及污染治理设施按要求安装用电监管设备，实现分表计电，用电监管数据按要求与省级主管部门用电监管平台联网；</w:t>
            </w:r>
          </w:p>
          <w:p w14:paraId="3A82408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4.</w:t>
            </w:r>
            <w:r>
              <w:rPr>
                <w:rFonts w:hint="default" w:ascii="Times New Roman" w:hAnsi="Times New Roman" w:eastAsia="宋体" w:cs="Times New Roman"/>
                <w:b w:val="0"/>
                <w:bCs w:val="0"/>
                <w:spacing w:val="7"/>
                <w:sz w:val="21"/>
                <w:szCs w:val="21"/>
                <w:highlight w:val="none"/>
                <w:lang w:val="en-US" w:eastAsia="en-US"/>
              </w:rPr>
              <w:t>厂内未安装在线监控的涉气生产设施主要投料口、料场出入口等易产尘点安装高清视频监控系统，视频监控数据保存6个月以上；</w:t>
            </w:r>
          </w:p>
          <w:p w14:paraId="0902240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highlight w:val="none"/>
                <w:lang w:val="en-US" w:eastAsia="zh-CN"/>
              </w:rPr>
            </w:pPr>
            <w:r>
              <w:rPr>
                <w:rFonts w:hint="eastAsia" w:ascii="Times New Roman" w:hAnsi="Times New Roman" w:cs="Times New Roman"/>
                <w:b w:val="0"/>
                <w:bCs w:val="0"/>
                <w:spacing w:val="7"/>
                <w:sz w:val="21"/>
                <w:szCs w:val="21"/>
                <w:highlight w:val="none"/>
                <w:lang w:val="en-US" w:eastAsia="zh-CN"/>
              </w:rPr>
              <w:t>5.</w:t>
            </w:r>
            <w:r>
              <w:rPr>
                <w:rFonts w:hint="default" w:ascii="Times New Roman" w:hAnsi="Times New Roman" w:eastAsia="宋体" w:cs="Times New Roman"/>
                <w:b w:val="0"/>
                <w:bCs w:val="0"/>
                <w:spacing w:val="7"/>
                <w:sz w:val="21"/>
                <w:szCs w:val="21"/>
                <w:highlight w:val="none"/>
                <w:lang w:val="en-US" w:eastAsia="en-US"/>
              </w:rPr>
              <w:t>厂界需安装颗粒物（PM</w:t>
            </w:r>
            <w:r>
              <w:rPr>
                <w:rFonts w:hint="default" w:ascii="Times New Roman" w:hAnsi="Times New Roman" w:eastAsia="宋体" w:cs="Times New Roman"/>
                <w:b w:val="0"/>
                <w:bCs w:val="0"/>
                <w:spacing w:val="7"/>
                <w:sz w:val="21"/>
                <w:szCs w:val="21"/>
                <w:highlight w:val="none"/>
                <w:vertAlign w:val="subscript"/>
                <w:lang w:val="en-US" w:eastAsia="en-US"/>
              </w:rPr>
              <w:t>2.5</w:t>
            </w:r>
            <w:r>
              <w:rPr>
                <w:rFonts w:hint="default" w:ascii="Times New Roman" w:hAnsi="Times New Roman" w:eastAsia="宋体" w:cs="Times New Roman"/>
                <w:b w:val="0"/>
                <w:bCs w:val="0"/>
                <w:spacing w:val="7"/>
                <w:sz w:val="21"/>
                <w:szCs w:val="21"/>
                <w:highlight w:val="none"/>
                <w:lang w:val="en-US" w:eastAsia="en-US"/>
              </w:rPr>
              <w:t>和PM</w:t>
            </w:r>
            <w:r>
              <w:rPr>
                <w:rFonts w:hint="default" w:ascii="Times New Roman" w:hAnsi="Times New Roman" w:eastAsia="宋体" w:cs="Times New Roman"/>
                <w:b w:val="0"/>
                <w:bCs w:val="0"/>
                <w:spacing w:val="7"/>
                <w:sz w:val="21"/>
                <w:szCs w:val="21"/>
                <w:highlight w:val="none"/>
                <w:vertAlign w:val="subscript"/>
                <w:lang w:val="en-US" w:eastAsia="en-US"/>
              </w:rPr>
              <w:t>10</w:t>
            </w:r>
            <w:r>
              <w:rPr>
                <w:rFonts w:hint="default" w:ascii="Times New Roman" w:hAnsi="Times New Roman" w:eastAsia="宋体" w:cs="Times New Roman"/>
                <w:b w:val="0"/>
                <w:bCs w:val="0"/>
                <w:spacing w:val="7"/>
                <w:sz w:val="21"/>
                <w:szCs w:val="21"/>
                <w:highlight w:val="none"/>
                <w:lang w:val="en-US" w:eastAsia="en-US"/>
              </w:rPr>
              <w:t>）无组织自动监控设施，并按要求与省级主管部门联网。</w:t>
            </w:r>
          </w:p>
        </w:tc>
        <w:tc>
          <w:tcPr>
            <w:tcW w:w="3142" w:type="dxa"/>
            <w:tcBorders>
              <w:top w:val="single" w:color="auto" w:sz="4" w:space="0"/>
              <w:bottom w:val="single" w:color="auto" w:sz="4" w:space="0"/>
              <w:right w:val="single" w:color="auto" w:sz="4" w:space="0"/>
            </w:tcBorders>
            <w:shd w:val="clear" w:color="auto" w:fill="auto"/>
            <w:vAlign w:val="center"/>
          </w:tcPr>
          <w:p w14:paraId="160F90AE">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cs="Times New Roman"/>
                <w:b w:val="0"/>
                <w:bCs w:val="0"/>
                <w:spacing w:val="0"/>
                <w:position w:val="0"/>
                <w:sz w:val="21"/>
                <w:szCs w:val="21"/>
                <w:lang w:eastAsia="zh-CN"/>
              </w:rPr>
              <w:t>有组织排放口按生态环境部门要求安装CEMS，并按要求联网，数据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cs="Times New Roman"/>
                <w:b w:val="0"/>
                <w:bCs w:val="0"/>
                <w:spacing w:val="0"/>
                <w:position w:val="0"/>
                <w:sz w:val="21"/>
                <w:szCs w:val="21"/>
                <w:lang w:eastAsia="zh-CN"/>
              </w:rPr>
              <w:t>；</w:t>
            </w:r>
          </w:p>
          <w:p w14:paraId="4BF2C361">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eastAsia="zh-CN"/>
              </w:rPr>
              <w:t>安装DCS/PLC系统、仪器仪表等装置，记录治理设施主要参数，数据保存一年以上；</w:t>
            </w:r>
          </w:p>
          <w:p w14:paraId="7293E8E6">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同B级第3条要求；</w:t>
            </w:r>
          </w:p>
          <w:p w14:paraId="23A3468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eastAsia="zh-CN"/>
              </w:rPr>
              <w:t>料场出入口等易产尘点，安装高清视频监控系统，相关数据保存6个月以上。</w:t>
            </w:r>
          </w:p>
        </w:tc>
        <w:tc>
          <w:tcPr>
            <w:tcW w:w="1402" w:type="dxa"/>
            <w:tcBorders>
              <w:top w:val="single" w:color="auto" w:sz="4" w:space="0"/>
              <w:bottom w:val="single" w:color="auto" w:sz="4" w:space="0"/>
              <w:right w:val="single" w:color="auto" w:sz="4" w:space="0"/>
            </w:tcBorders>
            <w:shd w:val="clear" w:color="auto" w:fill="auto"/>
            <w:vAlign w:val="center"/>
          </w:tcPr>
          <w:p w14:paraId="7EEA97C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39815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56" w:type="dxa"/>
            <w:vMerge w:val="restart"/>
            <w:shd w:val="clear" w:color="auto" w:fill="auto"/>
            <w:vAlign w:val="center"/>
          </w:tcPr>
          <w:p w14:paraId="7C11BE3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环境管理</w:t>
            </w:r>
          </w:p>
          <w:p w14:paraId="68DEBC8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yellow"/>
                <w:lang w:val="en-US" w:eastAsia="zh-CN"/>
              </w:rPr>
            </w:pPr>
            <w:r>
              <w:rPr>
                <w:rFonts w:hint="default" w:ascii="Times New Roman" w:hAnsi="Times New Roman" w:eastAsia="宋体" w:cs="Times New Roman"/>
                <w:b w:val="0"/>
                <w:bCs w:val="0"/>
                <w:spacing w:val="7"/>
                <w:sz w:val="21"/>
                <w:szCs w:val="21"/>
                <w:highlight w:val="none"/>
                <w:lang w:val="en-US" w:eastAsia="zh-CN"/>
              </w:rPr>
              <w:t>水平</w:t>
            </w:r>
          </w:p>
        </w:tc>
        <w:tc>
          <w:tcPr>
            <w:tcW w:w="13476" w:type="dxa"/>
            <w:gridSpan w:val="4"/>
            <w:tcBorders>
              <w:top w:val="single" w:color="auto" w:sz="4" w:space="0"/>
              <w:bottom w:val="single" w:color="auto" w:sz="4" w:space="0"/>
              <w:right w:val="single" w:color="auto" w:sz="4" w:space="0"/>
            </w:tcBorders>
            <w:shd w:val="clear" w:color="auto" w:fill="auto"/>
            <w:vAlign w:val="center"/>
          </w:tcPr>
          <w:p w14:paraId="3D421D0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2B476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1256" w:type="dxa"/>
            <w:vMerge w:val="continue"/>
            <w:shd w:val="clear" w:color="auto" w:fill="auto"/>
            <w:vAlign w:val="center"/>
          </w:tcPr>
          <w:p w14:paraId="75D749C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textAlignment w:val="baseline"/>
              <w:rPr>
                <w:rFonts w:hint="default" w:ascii="Times New Roman" w:hAnsi="Times New Roman" w:eastAsia="宋体" w:cs="Times New Roman"/>
                <w:b w:val="0"/>
                <w:bCs w:val="0"/>
                <w:spacing w:val="7"/>
                <w:sz w:val="21"/>
                <w:szCs w:val="21"/>
                <w:highlight w:val="yellow"/>
                <w:lang w:val="en-US" w:eastAsia="zh-CN"/>
              </w:rPr>
            </w:pPr>
          </w:p>
        </w:tc>
        <w:tc>
          <w:tcPr>
            <w:tcW w:w="4867" w:type="dxa"/>
            <w:tcBorders>
              <w:top w:val="single" w:color="auto" w:sz="4" w:space="0"/>
              <w:bottom w:val="single" w:color="auto" w:sz="4" w:space="0"/>
            </w:tcBorders>
            <w:shd w:val="clear" w:color="auto" w:fill="auto"/>
            <w:vAlign w:val="center"/>
          </w:tcPr>
          <w:p w14:paraId="24F9797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en-US"/>
              </w:rPr>
            </w:pPr>
            <w:r>
              <w:rPr>
                <w:rFonts w:hint="default" w:ascii="Times New Roman" w:hAnsi="Times New Roman" w:cs="Times New Roman"/>
                <w:b w:val="0"/>
                <w:bCs w:val="0"/>
                <w:spacing w:val="6"/>
                <w:sz w:val="21"/>
                <w:szCs w:val="21"/>
                <w:lang w:val="en-US" w:eastAsia="zh-CN"/>
              </w:rPr>
              <w:t>台账记录：1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生产设施运行管理信息（生产时间、运行负荷、产品产量等）；2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废气污染治理设施运行管理信息（除尘滤料更换量和时间、脱硫及脱硝剂添加量和时间等）；3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监测记录信息（主要污染排放口废气排放手工和在线监测记录等）；4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主要原辅材料消耗记录；5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燃料（天然气、煤等）消耗记录。</w:t>
            </w:r>
          </w:p>
        </w:tc>
        <w:tc>
          <w:tcPr>
            <w:tcW w:w="7207" w:type="dxa"/>
            <w:gridSpan w:val="2"/>
            <w:tcBorders>
              <w:top w:val="single" w:color="auto" w:sz="4" w:space="0"/>
              <w:bottom w:val="single" w:color="auto" w:sz="4" w:space="0"/>
            </w:tcBorders>
            <w:shd w:val="clear" w:color="auto" w:fill="auto"/>
            <w:vAlign w:val="center"/>
          </w:tcPr>
          <w:p w14:paraId="2BB5A59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至少符合A级要求中1、2、3项。</w:t>
            </w:r>
          </w:p>
        </w:tc>
        <w:tc>
          <w:tcPr>
            <w:tcW w:w="1402" w:type="dxa"/>
            <w:tcBorders>
              <w:top w:val="single" w:color="auto" w:sz="4" w:space="0"/>
              <w:bottom w:val="single" w:color="auto" w:sz="4" w:space="0"/>
            </w:tcBorders>
            <w:shd w:val="clear" w:color="auto" w:fill="auto"/>
            <w:vAlign w:val="center"/>
          </w:tcPr>
          <w:p w14:paraId="2C33503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7FF47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vMerge w:val="continue"/>
            <w:shd w:val="clear" w:color="auto" w:fill="auto"/>
            <w:vAlign w:val="center"/>
          </w:tcPr>
          <w:p w14:paraId="00403345">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textAlignment w:val="baseline"/>
              <w:rPr>
                <w:rFonts w:hint="default" w:ascii="Times New Roman" w:hAnsi="Times New Roman" w:eastAsia="宋体" w:cs="Times New Roman"/>
                <w:b w:val="0"/>
                <w:bCs w:val="0"/>
                <w:spacing w:val="7"/>
                <w:sz w:val="21"/>
                <w:szCs w:val="21"/>
                <w:highlight w:val="yellow"/>
                <w:lang w:val="en-US" w:eastAsia="zh-CN"/>
              </w:rPr>
            </w:pPr>
          </w:p>
        </w:tc>
        <w:tc>
          <w:tcPr>
            <w:tcW w:w="8932" w:type="dxa"/>
            <w:gridSpan w:val="2"/>
            <w:tcBorders>
              <w:top w:val="single" w:color="auto" w:sz="4" w:space="0"/>
              <w:bottom w:val="single" w:color="auto" w:sz="4" w:space="0"/>
              <w:right w:val="single" w:color="auto" w:sz="4" w:space="0"/>
            </w:tcBorders>
            <w:shd w:val="clear" w:color="auto" w:fill="auto"/>
            <w:vAlign w:val="center"/>
          </w:tcPr>
          <w:p w14:paraId="5A86913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人员配置：设置环保部门，配备专职环保人员，并具备相应的环境管理能力。</w:t>
            </w:r>
          </w:p>
        </w:tc>
        <w:tc>
          <w:tcPr>
            <w:tcW w:w="4544" w:type="dxa"/>
            <w:gridSpan w:val="2"/>
            <w:tcBorders>
              <w:top w:val="single" w:color="auto" w:sz="4" w:space="0"/>
              <w:left w:val="single" w:color="auto" w:sz="4" w:space="0"/>
              <w:bottom w:val="single" w:color="auto" w:sz="4" w:space="0"/>
            </w:tcBorders>
            <w:shd w:val="clear" w:color="auto" w:fill="auto"/>
            <w:vAlign w:val="center"/>
          </w:tcPr>
          <w:p w14:paraId="2BC5CB4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人员配置：配备专职环保人员，并具备相应的环境管理能力。</w:t>
            </w:r>
          </w:p>
        </w:tc>
      </w:tr>
      <w:tr w14:paraId="1B244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shd w:val="clear" w:color="auto" w:fill="auto"/>
            <w:vAlign w:val="center"/>
          </w:tcPr>
          <w:p w14:paraId="5A8ECF3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yellow"/>
                <w:lang w:val="en-US" w:eastAsia="zh-CN"/>
              </w:rPr>
            </w:pPr>
            <w:r>
              <w:rPr>
                <w:rFonts w:hint="default" w:ascii="Times New Roman" w:hAnsi="Times New Roman" w:eastAsia="宋体" w:cs="Times New Roman"/>
                <w:b w:val="0"/>
                <w:bCs w:val="0"/>
                <w:spacing w:val="7"/>
                <w:sz w:val="21"/>
                <w:szCs w:val="21"/>
                <w:highlight w:val="none"/>
                <w:lang w:val="en-US" w:eastAsia="zh-CN"/>
              </w:rPr>
              <w:t>运输方式</w:t>
            </w:r>
          </w:p>
        </w:tc>
        <w:tc>
          <w:tcPr>
            <w:tcW w:w="4867" w:type="dxa"/>
            <w:tcBorders>
              <w:top w:val="single" w:color="auto" w:sz="4" w:space="0"/>
              <w:bottom w:val="single" w:color="auto" w:sz="4" w:space="0"/>
            </w:tcBorders>
            <w:shd w:val="clear" w:color="auto" w:fill="auto"/>
            <w:vAlign w:val="center"/>
          </w:tcPr>
          <w:p w14:paraId="7E72F56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6004015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2F4C80A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tc>
        <w:tc>
          <w:tcPr>
            <w:tcW w:w="4065" w:type="dxa"/>
            <w:tcBorders>
              <w:top w:val="single" w:color="auto" w:sz="4" w:space="0"/>
              <w:bottom w:val="single" w:color="auto" w:sz="4" w:space="0"/>
            </w:tcBorders>
            <w:shd w:val="clear" w:color="auto" w:fill="auto"/>
            <w:vAlign w:val="center"/>
          </w:tcPr>
          <w:p w14:paraId="302FFEC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D23EAB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2580322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tc>
        <w:tc>
          <w:tcPr>
            <w:tcW w:w="3142" w:type="dxa"/>
            <w:tcBorders>
              <w:top w:val="single" w:color="auto" w:sz="4" w:space="0"/>
              <w:bottom w:val="single" w:color="auto" w:sz="4" w:space="0"/>
            </w:tcBorders>
            <w:shd w:val="clear" w:color="auto" w:fill="auto"/>
            <w:vAlign w:val="center"/>
          </w:tcPr>
          <w:p w14:paraId="011B88F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357C652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467C89F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tc>
        <w:tc>
          <w:tcPr>
            <w:tcW w:w="1402" w:type="dxa"/>
            <w:tcBorders>
              <w:top w:val="single" w:color="auto" w:sz="4" w:space="0"/>
              <w:bottom w:val="single" w:color="auto" w:sz="4" w:space="0"/>
            </w:tcBorders>
            <w:shd w:val="clear" w:color="auto" w:fill="auto"/>
            <w:vAlign w:val="center"/>
          </w:tcPr>
          <w:p w14:paraId="13D44E2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2C5E2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shd w:val="clear" w:color="auto" w:fill="auto"/>
            <w:vAlign w:val="center"/>
          </w:tcPr>
          <w:p w14:paraId="6B94629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运输监管</w:t>
            </w:r>
          </w:p>
        </w:tc>
        <w:tc>
          <w:tcPr>
            <w:tcW w:w="8932" w:type="dxa"/>
            <w:gridSpan w:val="2"/>
            <w:tcBorders>
              <w:top w:val="single" w:color="auto" w:sz="4" w:space="0"/>
              <w:bottom w:val="single" w:color="auto" w:sz="4" w:space="0"/>
            </w:tcBorders>
            <w:shd w:val="clear" w:color="auto" w:fill="auto"/>
            <w:vAlign w:val="center"/>
          </w:tcPr>
          <w:p w14:paraId="5C2E8D9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0"/>
                <w:position w:val="0"/>
                <w:sz w:val="21"/>
                <w:szCs w:val="21"/>
                <w:lang w:val="en-US" w:eastAsia="zh-CN"/>
              </w:rPr>
              <w:t>参照《重污染天气重点行业移动源应急管理技术指南》建立门禁视频监控系统和电子台账，门禁视频监控系统与省级移动源监管平台联网。</w:t>
            </w:r>
          </w:p>
        </w:tc>
        <w:tc>
          <w:tcPr>
            <w:tcW w:w="4544" w:type="dxa"/>
            <w:gridSpan w:val="2"/>
            <w:tcBorders>
              <w:top w:val="single" w:color="auto" w:sz="4" w:space="0"/>
              <w:bottom w:val="single" w:color="auto" w:sz="4" w:space="0"/>
            </w:tcBorders>
            <w:shd w:val="clear" w:color="auto" w:fill="auto"/>
            <w:vAlign w:val="center"/>
          </w:tcPr>
          <w:p w14:paraId="562BC2B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bl>
    <w:p w14:paraId="3931C183">
      <w:pPr>
        <w:rPr>
          <w:rFonts w:hint="default" w:ascii="Times New Roman" w:hAnsi="Times New Roman" w:cs="Times New Roman"/>
        </w:rPr>
        <w:sectPr>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2DD635BB">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sz w:val="30"/>
          <w:szCs w:val="30"/>
        </w:rPr>
      </w:pPr>
      <w:bookmarkStart w:id="25" w:name="_Toc25354"/>
      <w:bookmarkStart w:id="26" w:name="_Toc24154"/>
      <w:r>
        <w:rPr>
          <w:rFonts w:hint="default" w:ascii="Times New Roman" w:hAnsi="Times New Roman" w:eastAsia="楷体" w:cs="Times New Roman"/>
          <w:b/>
          <w:sz w:val="30"/>
          <w:szCs w:val="30"/>
        </w:rPr>
        <w:t>（五）减排措施</w:t>
      </w:r>
      <w:bookmarkEnd w:id="25"/>
      <w:bookmarkEnd w:id="26"/>
    </w:p>
    <w:p w14:paraId="62126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A级企业</w:t>
      </w:r>
    </w:p>
    <w:p w14:paraId="3C2F5E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36FEE4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B级企业</w:t>
      </w:r>
    </w:p>
    <w:p w14:paraId="4C5C88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79D8E8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橙色预警期间：印花、烘干、定型等涉气工序停产 20%，重点排污单位在每次预警启动前以预警发布前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44DE5D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红色预警期间：印花、烘干、定型等涉气工序停产 50%</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674D3B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C级企业</w:t>
      </w:r>
    </w:p>
    <w:p w14:paraId="3754B8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黄色和橙色预警期间：印花、烘干、定型等涉气工序停产 50%</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16FB18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红色预警期间：企业印花、烘干、定型等涉气工序停产。停止使用国五及以下重型载货车辆进行运输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0BDB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w:t>
      </w:r>
      <w:r>
        <w:rPr>
          <w:rFonts w:hint="default" w:ascii="Times New Roman" w:hAnsi="Times New Roman" w:eastAsia="宋体" w:cs="Times New Roman"/>
          <w:b/>
          <w:bCs/>
          <w:spacing w:val="-2"/>
          <w:sz w:val="28"/>
          <w:szCs w:val="28"/>
        </w:rPr>
        <w:t>级企业</w:t>
      </w:r>
    </w:p>
    <w:p w14:paraId="1E8322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w:t>
      </w:r>
      <w:r>
        <w:rPr>
          <w:rFonts w:hint="default" w:ascii="Times New Roman" w:hAnsi="Times New Roman" w:eastAsia="宋体" w:cs="Times New Roman"/>
          <w:spacing w:val="-2"/>
          <w:sz w:val="28"/>
          <w:szCs w:val="28"/>
          <w:lang w:val="en-US" w:eastAsia="zh-CN"/>
        </w:rPr>
        <w:t>及以上</w:t>
      </w:r>
      <w:r>
        <w:rPr>
          <w:rFonts w:hint="default" w:ascii="Times New Roman" w:hAnsi="Times New Roman" w:eastAsia="宋体" w:cs="Times New Roman"/>
          <w:spacing w:val="-2"/>
          <w:sz w:val="28"/>
          <w:szCs w:val="28"/>
        </w:rPr>
        <w:t>预警期间：停产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停止除纯电、氢燃料电池以外的运输车辆和非道路移动机械。</w:t>
      </w:r>
    </w:p>
    <w:p w14:paraId="3391309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27" w:name="_Toc32020"/>
      <w:bookmarkStart w:id="28" w:name="_Toc29910"/>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六</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核查方法</w:t>
      </w:r>
      <w:bookmarkEnd w:id="27"/>
      <w:bookmarkEnd w:id="28"/>
    </w:p>
    <w:p w14:paraId="6C5DEF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电量分析：</w:t>
      </w:r>
      <w:r>
        <w:rPr>
          <w:rFonts w:hint="default" w:ascii="Times New Roman" w:hAnsi="Times New Roman" w:eastAsia="宋体" w:cs="Times New Roman"/>
          <w:spacing w:val="-2"/>
          <w:sz w:val="28"/>
          <w:szCs w:val="28"/>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2D8C54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现场核查：</w:t>
      </w:r>
      <w:r>
        <w:rPr>
          <w:rFonts w:hint="default" w:ascii="Times New Roman" w:hAnsi="Times New Roman" w:eastAsia="宋体" w:cs="Times New Roman"/>
          <w:spacing w:val="-2"/>
          <w:sz w:val="28"/>
          <w:szCs w:val="28"/>
        </w:rPr>
        <w:t>查看锅炉、印花机、烘干机、定型机等主要生产设备，预警期间是否按要求实施停限产；查看污染治理设施是否稳定运行。</w:t>
      </w:r>
    </w:p>
    <w:p w14:paraId="41011E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台账核查：</w:t>
      </w:r>
      <w:r>
        <w:rPr>
          <w:rFonts w:hint="default" w:ascii="Times New Roman" w:hAnsi="Times New Roman" w:eastAsia="宋体" w:cs="Times New Roman"/>
          <w:spacing w:val="-2"/>
          <w:sz w:val="28"/>
          <w:szCs w:val="28"/>
        </w:rPr>
        <w:t>查阅生产设备运行台账，查看燃料、原辅料等使用量，产品产量，判断预警期间是否落实停限产要求，核查企业运输车辆、厂内车辆、非道路移动机械电子台账及企业地磅、轨道</w:t>
      </w:r>
      <w:r>
        <w:rPr>
          <w:rFonts w:hint="default" w:ascii="Times New Roman" w:hAnsi="Times New Roman" w:eastAsia="宋体" w:cs="Times New Roman"/>
          <w:spacing w:val="-2"/>
          <w:sz w:val="28"/>
          <w:szCs w:val="28"/>
          <w:highlight w:val="none"/>
        </w:rPr>
        <w:t>衡</w:t>
      </w:r>
      <w:r>
        <w:rPr>
          <w:rFonts w:hint="default" w:ascii="Times New Roman" w:hAnsi="Times New Roman" w:eastAsia="宋体" w:cs="Times New Roman"/>
          <w:spacing w:val="-2"/>
          <w:sz w:val="28"/>
          <w:szCs w:val="28"/>
        </w:rPr>
        <w:t>等的物料进出量。</w:t>
      </w:r>
    </w:p>
    <w:p w14:paraId="3101F5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spacing w:val="-2"/>
          <w:sz w:val="28"/>
          <w:szCs w:val="28"/>
        </w:rPr>
        <w:t>调取厂区货运进出口视频监控记录，查看运输管理台账，比对预警前后厂区汽车运输情况，检查是否符合要求；现场抽查运行车辆和非道路移动机械，核查排放阶段是否符合要求。</w:t>
      </w:r>
    </w:p>
    <w:p w14:paraId="4210D8CB">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rPr>
      </w:pPr>
      <w:bookmarkStart w:id="29" w:name="_Toc17685"/>
      <w:bookmarkStart w:id="30" w:name="_Toc23955"/>
      <w:r>
        <w:rPr>
          <w:rFonts w:hint="default" w:ascii="Times New Roman" w:hAnsi="Times New Roman" w:eastAsia="宋体" w:cs="Times New Roman"/>
          <w:b/>
          <w:sz w:val="32"/>
          <w:szCs w:val="32"/>
          <w:lang w:val="en-US" w:eastAsia="zh-CN"/>
        </w:rPr>
        <w:t>三</w:t>
      </w:r>
      <w:r>
        <w:rPr>
          <w:rFonts w:hint="default" w:ascii="Times New Roman" w:hAnsi="Times New Roman" w:cs="Times New Roman"/>
          <w:b/>
          <w:sz w:val="32"/>
          <w:szCs w:val="32"/>
        </w:rPr>
        <w:t>、有机化工</w:t>
      </w:r>
      <w:bookmarkEnd w:id="29"/>
      <w:bookmarkEnd w:id="30"/>
    </w:p>
    <w:p w14:paraId="601819C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1" w:name="_Toc5111"/>
      <w:bookmarkStart w:id="32" w:name="_Toc5994"/>
      <w:r>
        <w:rPr>
          <w:rFonts w:hint="default" w:ascii="Times New Roman" w:hAnsi="Times New Roman" w:eastAsia="楷体" w:cs="Times New Roman"/>
          <w:b/>
          <w:sz w:val="30"/>
          <w:szCs w:val="30"/>
        </w:rPr>
        <w:t>（一）适用范围</w:t>
      </w:r>
      <w:bookmarkEnd w:id="31"/>
      <w:bookmarkEnd w:id="32"/>
    </w:p>
    <w:p w14:paraId="045CBD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val="en-US" w:eastAsia="zh-CN"/>
        </w:rPr>
      </w:pPr>
      <w:r>
        <w:rPr>
          <w:rFonts w:hint="default" w:ascii="Times New Roman" w:hAnsi="Times New Roman" w:eastAsia="宋体" w:cs="Times New Roman"/>
          <w:spacing w:val="-2"/>
          <w:sz w:val="28"/>
          <w:szCs w:val="28"/>
        </w:rPr>
        <w:t>适用于符合产业政策要求的《国民经济行业分类》</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GB/T4754-2017</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中C26化学原料和化学制品制造业</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包括C261基础化学原料制造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C266专用化学产品制造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C268日用化学产品制造行业等以有机及无机化学品为原料生产各种有机原料及产品的行业。不包括无机酸、无机碱和无机盐等无机化学产品制造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不包括国家技术指南中制药、农药行业。</w:t>
      </w:r>
    </w:p>
    <w:p w14:paraId="0A28DBA2">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3" w:name="_Toc25198"/>
      <w:bookmarkStart w:id="34" w:name="_Toc14416"/>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二</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生产工艺</w:t>
      </w:r>
      <w:bookmarkEnd w:id="33"/>
      <w:bookmarkEnd w:id="34"/>
    </w:p>
    <w:p w14:paraId="52A022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主要生产工艺</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原料预处理/配料</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化学反应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分离</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精制、溶剂回收、干燥、包装等；</w:t>
      </w:r>
    </w:p>
    <w:p w14:paraId="4EB774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主要原辅材料</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有机及无机原辅料</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增溶剂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稀释剂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有机溶剂等；</w:t>
      </w:r>
    </w:p>
    <w:p w14:paraId="6F8B21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主要燃料/能源</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煤</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天然气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焦炭</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液化石油气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生物质</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电等</w:t>
      </w:r>
      <w:r>
        <w:rPr>
          <w:rFonts w:hint="default" w:ascii="Times New Roman" w:hAnsi="Times New Roman" w:eastAsia="宋体" w:cs="Times New Roman"/>
          <w:spacing w:val="-2"/>
          <w:sz w:val="28"/>
          <w:szCs w:val="28"/>
          <w:lang w:eastAsia="zh-CN"/>
        </w:rPr>
        <w:t>。</w:t>
      </w:r>
    </w:p>
    <w:p w14:paraId="4664A646">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5" w:name="_Toc22971"/>
      <w:bookmarkStart w:id="36" w:name="_Toc18231"/>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三</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主要污染物产排环节</w:t>
      </w:r>
      <w:bookmarkEnd w:id="35"/>
      <w:bookmarkEnd w:id="36"/>
    </w:p>
    <w:p w14:paraId="78899B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rPr>
        <w:t>化工生产过程中原料破碎、配料等工序排放PM；生产过程中各类工业炉窑、反应釜</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真空泵、离心机、冷凝器</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烘干机</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锅炉等工序排放PM</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SO</w:t>
      </w:r>
      <w:r>
        <w:rPr>
          <w:rFonts w:hint="default" w:ascii="Times New Roman" w:hAnsi="Times New Roman" w:eastAsia="宋体" w:cs="Times New Roman"/>
          <w:spacing w:val="-2"/>
          <w:sz w:val="28"/>
          <w:szCs w:val="28"/>
          <w:vertAlign w:val="subscript"/>
        </w:rPr>
        <w:t>2</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NOx和VOCs等污染物</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有机化工原料和产品罐区排放VOCs</w:t>
      </w:r>
      <w:r>
        <w:rPr>
          <w:rFonts w:hint="default" w:ascii="Times New Roman" w:hAnsi="Times New Roman" w:eastAsia="宋体" w:cs="Times New Roman"/>
          <w:spacing w:val="-2"/>
          <w:sz w:val="28"/>
          <w:szCs w:val="28"/>
          <w:lang w:eastAsia="zh-CN"/>
        </w:rPr>
        <w:t>。</w:t>
      </w:r>
    </w:p>
    <w:p w14:paraId="6ED709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3</w:t>
      </w:r>
      <w:r>
        <w:rPr>
          <w:rFonts w:hint="default" w:ascii="Times New Roman" w:hAnsi="Times New Roman" w:eastAsia="宋体" w:cs="Times New Roman"/>
          <w:b/>
          <w:bCs/>
          <w:spacing w:val="7"/>
          <w:sz w:val="28"/>
          <w:szCs w:val="28"/>
        </w:rPr>
        <w:t>-1</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有机化工行业主要废气排放节点及主要治理措施</w:t>
      </w:r>
    </w:p>
    <w:p w14:paraId="466B0EEA">
      <w:pPr>
        <w:spacing w:line="86" w:lineRule="exact"/>
        <w:rPr>
          <w:rFonts w:hint="default" w:ascii="Times New Roman" w:hAnsi="Times New Roman" w:cs="Times New Roman"/>
        </w:rPr>
      </w:pPr>
    </w:p>
    <w:tbl>
      <w:tblPr>
        <w:tblStyle w:val="12"/>
        <w:tblW w:w="499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702"/>
        <w:gridCol w:w="1599"/>
        <w:gridCol w:w="2064"/>
        <w:gridCol w:w="1533"/>
        <w:gridCol w:w="3849"/>
      </w:tblGrid>
      <w:tr w14:paraId="2B81C7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CC422A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6"/>
                <w:sz w:val="21"/>
                <w:szCs w:val="21"/>
              </w:rPr>
              <w:t>序号</w:t>
            </w:r>
          </w:p>
        </w:tc>
        <w:tc>
          <w:tcPr>
            <w:tcW w:w="1599" w:type="dxa"/>
            <w:tcBorders>
              <w:tl2br w:val="nil"/>
              <w:tr2bl w:val="nil"/>
            </w:tcBorders>
            <w:vAlign w:val="center"/>
          </w:tcPr>
          <w:p w14:paraId="76826AC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生产工艺</w:t>
            </w:r>
          </w:p>
        </w:tc>
        <w:tc>
          <w:tcPr>
            <w:tcW w:w="2064" w:type="dxa"/>
            <w:tcBorders>
              <w:tl2br w:val="nil"/>
              <w:tr2bl w:val="nil"/>
            </w:tcBorders>
            <w:vAlign w:val="center"/>
          </w:tcPr>
          <w:p w14:paraId="17A4D7C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主要排污节点</w:t>
            </w:r>
          </w:p>
        </w:tc>
        <w:tc>
          <w:tcPr>
            <w:tcW w:w="1533" w:type="dxa"/>
            <w:tcBorders>
              <w:tl2br w:val="nil"/>
              <w:tr2bl w:val="nil"/>
            </w:tcBorders>
            <w:vAlign w:val="center"/>
          </w:tcPr>
          <w:p w14:paraId="3340425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主要污染物</w:t>
            </w:r>
          </w:p>
        </w:tc>
        <w:tc>
          <w:tcPr>
            <w:tcW w:w="3849" w:type="dxa"/>
            <w:tcBorders>
              <w:tl2br w:val="nil"/>
              <w:tr2bl w:val="nil"/>
            </w:tcBorders>
            <w:vAlign w:val="center"/>
          </w:tcPr>
          <w:p w14:paraId="2834315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主要治理措施</w:t>
            </w:r>
          </w:p>
        </w:tc>
      </w:tr>
      <w:tr w14:paraId="17DF680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00B5E9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1</w:t>
            </w:r>
          </w:p>
        </w:tc>
        <w:tc>
          <w:tcPr>
            <w:tcW w:w="1599" w:type="dxa"/>
            <w:tcBorders>
              <w:tl2br w:val="nil"/>
              <w:tr2bl w:val="nil"/>
            </w:tcBorders>
            <w:vAlign w:val="center"/>
          </w:tcPr>
          <w:p w14:paraId="79B9B71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配料</w:t>
            </w:r>
          </w:p>
        </w:tc>
        <w:tc>
          <w:tcPr>
            <w:tcW w:w="2064" w:type="dxa"/>
            <w:tcBorders>
              <w:tl2br w:val="nil"/>
              <w:tr2bl w:val="nil"/>
            </w:tcBorders>
            <w:vAlign w:val="center"/>
          </w:tcPr>
          <w:p w14:paraId="3E84FE9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配料废气</w:t>
            </w:r>
          </w:p>
        </w:tc>
        <w:tc>
          <w:tcPr>
            <w:tcW w:w="1533" w:type="dxa"/>
            <w:tcBorders>
              <w:tl2br w:val="nil"/>
              <w:tr2bl w:val="nil"/>
            </w:tcBorders>
            <w:vAlign w:val="center"/>
          </w:tcPr>
          <w:p w14:paraId="58AB59E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r>
              <w:rPr>
                <w:rFonts w:hint="default" w:ascii="Times New Roman" w:hAnsi="Times New Roman" w:cs="Times New Roman"/>
                <w:spacing w:val="-21"/>
                <w:sz w:val="21"/>
                <w:szCs w:val="21"/>
                <w:lang w:eastAsia="zh-CN"/>
              </w:rPr>
              <w:t>、</w:t>
            </w:r>
            <w:r>
              <w:rPr>
                <w:rFonts w:hint="default" w:ascii="Times New Roman" w:hAnsi="Times New Roman" w:eastAsia="Times New Roman" w:cs="Times New Roman"/>
                <w:spacing w:val="-4"/>
                <w:sz w:val="21"/>
                <w:szCs w:val="21"/>
              </w:rPr>
              <w:t>VOCs</w:t>
            </w:r>
          </w:p>
        </w:tc>
        <w:tc>
          <w:tcPr>
            <w:tcW w:w="3849" w:type="dxa"/>
            <w:tcBorders>
              <w:tl2br w:val="nil"/>
              <w:tr2bl w:val="nil"/>
            </w:tcBorders>
            <w:vAlign w:val="center"/>
          </w:tcPr>
          <w:p w14:paraId="5AF9326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r>
              <w:rPr>
                <w:rFonts w:hint="default" w:ascii="Times New Roman" w:hAnsi="Times New Roman" w:cs="Times New Roman"/>
                <w:spacing w:val="-6"/>
                <w:sz w:val="21"/>
                <w:szCs w:val="21"/>
              </w:rPr>
              <w:t>和冷凝回收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w:t>
            </w:r>
            <w:r>
              <w:rPr>
                <w:rFonts w:hint="default" w:ascii="Times New Roman" w:hAnsi="Times New Roman" w:cs="Times New Roman"/>
                <w:spacing w:val="-6"/>
                <w:sz w:val="21"/>
                <w:szCs w:val="21"/>
                <w:lang w:eastAsia="zh-CN"/>
              </w:rPr>
              <w:t>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70714E1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4AC94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2</w:t>
            </w:r>
          </w:p>
        </w:tc>
        <w:tc>
          <w:tcPr>
            <w:tcW w:w="1599" w:type="dxa"/>
            <w:tcBorders>
              <w:tl2br w:val="nil"/>
              <w:tr2bl w:val="nil"/>
            </w:tcBorders>
            <w:vAlign w:val="center"/>
          </w:tcPr>
          <w:p w14:paraId="22D18A1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反应</w:t>
            </w:r>
          </w:p>
        </w:tc>
        <w:tc>
          <w:tcPr>
            <w:tcW w:w="2064" w:type="dxa"/>
            <w:tcBorders>
              <w:tl2br w:val="nil"/>
              <w:tr2bl w:val="nil"/>
            </w:tcBorders>
            <w:vAlign w:val="center"/>
          </w:tcPr>
          <w:p w14:paraId="444A2E0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反应废气</w:t>
            </w:r>
          </w:p>
        </w:tc>
        <w:tc>
          <w:tcPr>
            <w:tcW w:w="1533" w:type="dxa"/>
            <w:vMerge w:val="restart"/>
            <w:tcBorders>
              <w:tl2br w:val="nil"/>
              <w:tr2bl w:val="nil"/>
            </w:tcBorders>
            <w:vAlign w:val="center"/>
          </w:tcPr>
          <w:p w14:paraId="3F3849C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vMerge w:val="restart"/>
            <w:tcBorders>
              <w:tl2br w:val="nil"/>
              <w:tr2bl w:val="nil"/>
            </w:tcBorders>
            <w:vAlign w:val="center"/>
          </w:tcPr>
          <w:p w14:paraId="0D3444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p w14:paraId="587CE46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6E90549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97984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3</w:t>
            </w:r>
          </w:p>
        </w:tc>
        <w:tc>
          <w:tcPr>
            <w:tcW w:w="1599" w:type="dxa"/>
            <w:tcBorders>
              <w:tl2br w:val="nil"/>
              <w:tr2bl w:val="nil"/>
            </w:tcBorders>
            <w:vAlign w:val="center"/>
          </w:tcPr>
          <w:p w14:paraId="6BADD96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5"/>
                <w:sz w:val="21"/>
                <w:szCs w:val="21"/>
              </w:rPr>
              <w:t>分离</w:t>
            </w:r>
          </w:p>
        </w:tc>
        <w:tc>
          <w:tcPr>
            <w:tcW w:w="2064" w:type="dxa"/>
            <w:tcBorders>
              <w:tl2br w:val="nil"/>
              <w:tr2bl w:val="nil"/>
            </w:tcBorders>
            <w:vAlign w:val="center"/>
          </w:tcPr>
          <w:p w14:paraId="594B6E2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分离废气</w:t>
            </w:r>
          </w:p>
        </w:tc>
        <w:tc>
          <w:tcPr>
            <w:tcW w:w="1533" w:type="dxa"/>
            <w:vMerge w:val="continue"/>
            <w:tcBorders>
              <w:tl2br w:val="nil"/>
              <w:tr2bl w:val="nil"/>
            </w:tcBorders>
            <w:vAlign w:val="center"/>
          </w:tcPr>
          <w:p w14:paraId="6CD2B2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3849" w:type="dxa"/>
            <w:vMerge w:val="continue"/>
            <w:tcBorders>
              <w:tl2br w:val="nil"/>
              <w:tr2bl w:val="nil"/>
            </w:tcBorders>
            <w:vAlign w:val="center"/>
          </w:tcPr>
          <w:p w14:paraId="3A06C21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r>
      <w:tr w14:paraId="1CC5033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65936E8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4</w:t>
            </w:r>
          </w:p>
        </w:tc>
        <w:tc>
          <w:tcPr>
            <w:tcW w:w="1599" w:type="dxa"/>
            <w:tcBorders>
              <w:tl2br w:val="nil"/>
              <w:tr2bl w:val="nil"/>
            </w:tcBorders>
            <w:vAlign w:val="center"/>
          </w:tcPr>
          <w:p w14:paraId="0DB35BA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精制</w:t>
            </w:r>
          </w:p>
        </w:tc>
        <w:tc>
          <w:tcPr>
            <w:tcW w:w="2064" w:type="dxa"/>
            <w:tcBorders>
              <w:tl2br w:val="nil"/>
              <w:tr2bl w:val="nil"/>
            </w:tcBorders>
            <w:vAlign w:val="center"/>
          </w:tcPr>
          <w:p w14:paraId="18FEF70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精制废气</w:t>
            </w:r>
          </w:p>
        </w:tc>
        <w:tc>
          <w:tcPr>
            <w:tcW w:w="1533" w:type="dxa"/>
            <w:vMerge w:val="continue"/>
            <w:tcBorders>
              <w:tl2br w:val="nil"/>
              <w:tr2bl w:val="nil"/>
            </w:tcBorders>
            <w:vAlign w:val="center"/>
          </w:tcPr>
          <w:p w14:paraId="3A7F1D4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3849" w:type="dxa"/>
            <w:vMerge w:val="continue"/>
            <w:tcBorders>
              <w:tl2br w:val="nil"/>
              <w:tr2bl w:val="nil"/>
            </w:tcBorders>
            <w:vAlign w:val="center"/>
          </w:tcPr>
          <w:p w14:paraId="663D27F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r>
      <w:tr w14:paraId="1B266C0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D686A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5</w:t>
            </w:r>
          </w:p>
        </w:tc>
        <w:tc>
          <w:tcPr>
            <w:tcW w:w="1599" w:type="dxa"/>
            <w:tcBorders>
              <w:tl2br w:val="nil"/>
              <w:tr2bl w:val="nil"/>
            </w:tcBorders>
            <w:vAlign w:val="center"/>
          </w:tcPr>
          <w:p w14:paraId="36828B9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干燥</w:t>
            </w:r>
          </w:p>
        </w:tc>
        <w:tc>
          <w:tcPr>
            <w:tcW w:w="2064" w:type="dxa"/>
            <w:tcBorders>
              <w:tl2br w:val="nil"/>
              <w:tr2bl w:val="nil"/>
            </w:tcBorders>
            <w:vAlign w:val="center"/>
          </w:tcPr>
          <w:p w14:paraId="2B7D0AF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p w14:paraId="6FDF80B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干燥废气</w:t>
            </w:r>
          </w:p>
        </w:tc>
        <w:tc>
          <w:tcPr>
            <w:tcW w:w="1533" w:type="dxa"/>
            <w:tcBorders>
              <w:tl2br w:val="nil"/>
              <w:tr2bl w:val="nil"/>
            </w:tcBorders>
            <w:vAlign w:val="center"/>
          </w:tcPr>
          <w:p w14:paraId="0D389C7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r>
              <w:rPr>
                <w:rFonts w:hint="default" w:ascii="Times New Roman" w:hAnsi="Times New Roman" w:cs="Times New Roman"/>
                <w:spacing w:val="-21"/>
                <w:sz w:val="21"/>
                <w:szCs w:val="21"/>
                <w:lang w:eastAsia="zh-CN"/>
              </w:rPr>
              <w:t>、</w:t>
            </w:r>
            <w:r>
              <w:rPr>
                <w:rFonts w:hint="default" w:ascii="Times New Roman" w:hAnsi="Times New Roman" w:eastAsia="Times New Roman" w:cs="Times New Roman"/>
                <w:spacing w:val="-4"/>
                <w:sz w:val="21"/>
                <w:szCs w:val="21"/>
              </w:rPr>
              <w:t>VOCs</w:t>
            </w:r>
          </w:p>
        </w:tc>
        <w:tc>
          <w:tcPr>
            <w:tcW w:w="3849" w:type="dxa"/>
            <w:tcBorders>
              <w:tl2br w:val="nil"/>
              <w:tr2bl w:val="nil"/>
            </w:tcBorders>
            <w:vAlign w:val="center"/>
          </w:tcPr>
          <w:p w14:paraId="6B171D69">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r>
              <w:rPr>
                <w:rFonts w:hint="default" w:ascii="Times New Roman" w:hAnsi="Times New Roman" w:cs="Times New Roman"/>
                <w:spacing w:val="-6"/>
                <w:sz w:val="21"/>
                <w:szCs w:val="21"/>
              </w:rPr>
              <w:t>和冷凝回收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w:t>
            </w:r>
            <w:r>
              <w:rPr>
                <w:rFonts w:hint="default" w:ascii="Times New Roman" w:hAnsi="Times New Roman" w:cs="Times New Roman"/>
                <w:spacing w:val="-2"/>
                <w:sz w:val="21"/>
                <w:szCs w:val="21"/>
              </w:rPr>
              <w:t>浓缩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26BD256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497B55C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6</w:t>
            </w:r>
          </w:p>
        </w:tc>
        <w:tc>
          <w:tcPr>
            <w:tcW w:w="1599" w:type="dxa"/>
            <w:vMerge w:val="restart"/>
            <w:tcBorders>
              <w:tl2br w:val="nil"/>
              <w:tr2bl w:val="nil"/>
            </w:tcBorders>
            <w:vAlign w:val="center"/>
          </w:tcPr>
          <w:p w14:paraId="045EDE6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包装</w:t>
            </w:r>
          </w:p>
        </w:tc>
        <w:tc>
          <w:tcPr>
            <w:tcW w:w="2064" w:type="dxa"/>
            <w:vMerge w:val="restart"/>
            <w:tcBorders>
              <w:tl2br w:val="nil"/>
              <w:tr2bl w:val="nil"/>
            </w:tcBorders>
            <w:vAlign w:val="center"/>
          </w:tcPr>
          <w:p w14:paraId="56B503C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包装、分装废气</w:t>
            </w:r>
          </w:p>
        </w:tc>
        <w:tc>
          <w:tcPr>
            <w:tcW w:w="1533" w:type="dxa"/>
            <w:tcBorders>
              <w:tl2br w:val="nil"/>
              <w:tr2bl w:val="nil"/>
            </w:tcBorders>
            <w:vAlign w:val="center"/>
          </w:tcPr>
          <w:p w14:paraId="7A9C57D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49" w:type="dxa"/>
            <w:tcBorders>
              <w:tl2br w:val="nil"/>
              <w:tr2bl w:val="nil"/>
            </w:tcBorders>
            <w:vAlign w:val="center"/>
          </w:tcPr>
          <w:p w14:paraId="2321C3A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p>
        </w:tc>
      </w:tr>
      <w:tr w14:paraId="0BFD33E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7AA44B5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682268A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1CEEEE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7F2041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025840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1F84B99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BACA7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7</w:t>
            </w:r>
          </w:p>
        </w:tc>
        <w:tc>
          <w:tcPr>
            <w:tcW w:w="1599" w:type="dxa"/>
            <w:tcBorders>
              <w:tl2br w:val="nil"/>
              <w:tr2bl w:val="nil"/>
            </w:tcBorders>
            <w:vAlign w:val="center"/>
          </w:tcPr>
          <w:p w14:paraId="13E0950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溶剂回收</w:t>
            </w:r>
          </w:p>
        </w:tc>
        <w:tc>
          <w:tcPr>
            <w:tcW w:w="2064" w:type="dxa"/>
            <w:tcBorders>
              <w:tl2br w:val="nil"/>
              <w:tr2bl w:val="nil"/>
            </w:tcBorders>
            <w:vAlign w:val="center"/>
          </w:tcPr>
          <w:p w14:paraId="4A65A04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8"/>
                <w:sz w:val="21"/>
                <w:szCs w:val="21"/>
              </w:rPr>
              <w:t>溶剂挥发、蒸馏精馏</w:t>
            </w:r>
            <w:r>
              <w:rPr>
                <w:rFonts w:hint="default" w:ascii="Times New Roman" w:hAnsi="Times New Roman" w:cs="Times New Roman"/>
                <w:spacing w:val="-2"/>
                <w:sz w:val="21"/>
                <w:szCs w:val="21"/>
              </w:rPr>
              <w:t>产生的不凝气</w:t>
            </w:r>
          </w:p>
        </w:tc>
        <w:tc>
          <w:tcPr>
            <w:tcW w:w="1533" w:type="dxa"/>
            <w:tcBorders>
              <w:tl2br w:val="nil"/>
              <w:tr2bl w:val="nil"/>
            </w:tcBorders>
            <w:vAlign w:val="center"/>
          </w:tcPr>
          <w:p w14:paraId="337339B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6B08020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70E0EC9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372058C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8</w:t>
            </w:r>
          </w:p>
        </w:tc>
        <w:tc>
          <w:tcPr>
            <w:tcW w:w="1599" w:type="dxa"/>
            <w:tcBorders>
              <w:tl2br w:val="nil"/>
              <w:tr2bl w:val="nil"/>
            </w:tcBorders>
            <w:vAlign w:val="center"/>
          </w:tcPr>
          <w:p w14:paraId="5409DA0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4"/>
                <w:sz w:val="21"/>
                <w:szCs w:val="21"/>
              </w:rPr>
              <w:t>VOCs</w:t>
            </w:r>
            <w:r>
              <w:rPr>
                <w:rFonts w:hint="default" w:ascii="Times New Roman" w:hAnsi="Times New Roman" w:cs="Times New Roman"/>
                <w:spacing w:val="-4"/>
                <w:sz w:val="21"/>
                <w:szCs w:val="21"/>
              </w:rPr>
              <w:t>物料装</w:t>
            </w:r>
            <w:r>
              <w:rPr>
                <w:rFonts w:hint="default" w:ascii="Times New Roman" w:hAnsi="Times New Roman" w:cs="Times New Roman"/>
                <w:spacing w:val="-3"/>
                <w:sz w:val="21"/>
                <w:szCs w:val="21"/>
              </w:rPr>
              <w:t>卸、转运</w:t>
            </w:r>
          </w:p>
        </w:tc>
        <w:tc>
          <w:tcPr>
            <w:tcW w:w="2064" w:type="dxa"/>
            <w:tcBorders>
              <w:tl2br w:val="nil"/>
              <w:tr2bl w:val="nil"/>
            </w:tcBorders>
            <w:vAlign w:val="center"/>
          </w:tcPr>
          <w:p w14:paraId="5393E8D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槽车</w:t>
            </w:r>
          </w:p>
        </w:tc>
        <w:tc>
          <w:tcPr>
            <w:tcW w:w="1533" w:type="dxa"/>
            <w:tcBorders>
              <w:tl2br w:val="nil"/>
              <w:tr2bl w:val="nil"/>
            </w:tcBorders>
            <w:vAlign w:val="center"/>
          </w:tcPr>
          <w:p w14:paraId="5F04D12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519D139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气相平衡、冷凝回收等</w:t>
            </w:r>
          </w:p>
        </w:tc>
      </w:tr>
      <w:tr w14:paraId="12CB1D6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559AA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9</w:t>
            </w:r>
          </w:p>
        </w:tc>
        <w:tc>
          <w:tcPr>
            <w:tcW w:w="1599" w:type="dxa"/>
            <w:tcBorders>
              <w:tl2br w:val="nil"/>
              <w:tr2bl w:val="nil"/>
            </w:tcBorders>
            <w:vAlign w:val="center"/>
          </w:tcPr>
          <w:p w14:paraId="3872419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
                <w:sz w:val="21"/>
                <w:szCs w:val="21"/>
              </w:rPr>
              <w:t>VOCs</w:t>
            </w:r>
            <w:r>
              <w:rPr>
                <w:rFonts w:hint="default" w:ascii="Times New Roman" w:hAnsi="Times New Roman" w:cs="Times New Roman"/>
                <w:spacing w:val="-1"/>
                <w:sz w:val="21"/>
                <w:szCs w:val="21"/>
              </w:rPr>
              <w:t>物料储存</w:t>
            </w:r>
          </w:p>
        </w:tc>
        <w:tc>
          <w:tcPr>
            <w:tcW w:w="2064" w:type="dxa"/>
            <w:tcBorders>
              <w:tl2br w:val="nil"/>
              <w:tr2bl w:val="nil"/>
            </w:tcBorders>
            <w:vAlign w:val="center"/>
          </w:tcPr>
          <w:p w14:paraId="68009770">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2"/>
                <w:sz w:val="21"/>
                <w:szCs w:val="21"/>
              </w:rPr>
              <w:t>固定顶罐、浮顶罐（内</w:t>
            </w:r>
            <w:r>
              <w:rPr>
                <w:rFonts w:hint="default" w:ascii="Times New Roman" w:hAnsi="Times New Roman" w:cs="Times New Roman"/>
                <w:spacing w:val="-1"/>
                <w:sz w:val="21"/>
                <w:szCs w:val="21"/>
              </w:rPr>
              <w:t>浮顶罐、外浮顶罐）</w:t>
            </w:r>
          </w:p>
        </w:tc>
        <w:tc>
          <w:tcPr>
            <w:tcW w:w="1533" w:type="dxa"/>
            <w:tcBorders>
              <w:tl2br w:val="nil"/>
              <w:tr2bl w:val="nil"/>
            </w:tcBorders>
            <w:vAlign w:val="center"/>
          </w:tcPr>
          <w:p w14:paraId="479933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3E940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固定顶罐安装储罐呼吸气治理设施（燃烧</w:t>
            </w:r>
            <w:r>
              <w:rPr>
                <w:rFonts w:hint="default" w:ascii="Times New Roman" w:hAnsi="Times New Roman" w:cs="Times New Roman"/>
                <w:spacing w:val="-3"/>
                <w:sz w:val="21"/>
                <w:szCs w:val="21"/>
                <w:lang w:eastAsia="zh-CN"/>
              </w:rPr>
              <w:t>、</w:t>
            </w:r>
            <w:r>
              <w:rPr>
                <w:rFonts w:hint="default" w:ascii="Times New Roman" w:hAnsi="Times New Roman" w:cs="Times New Roman"/>
                <w:spacing w:val="-2"/>
                <w:sz w:val="21"/>
                <w:szCs w:val="21"/>
              </w:rPr>
              <w:t>冷凝回收等</w:t>
            </w:r>
            <w:r>
              <w:rPr>
                <w:rFonts w:hint="default" w:ascii="Times New Roman" w:hAnsi="Times New Roman" w:cs="Times New Roman"/>
                <w:spacing w:val="-41"/>
                <w:sz w:val="21"/>
                <w:szCs w:val="21"/>
              </w:rPr>
              <w:t>），</w:t>
            </w:r>
            <w:r>
              <w:rPr>
                <w:rFonts w:hint="default" w:ascii="Times New Roman" w:hAnsi="Times New Roman" w:cs="Times New Roman"/>
                <w:spacing w:val="-2"/>
                <w:sz w:val="21"/>
                <w:szCs w:val="21"/>
              </w:rPr>
              <w:t>采用浮顶罐</w:t>
            </w:r>
          </w:p>
        </w:tc>
      </w:tr>
      <w:tr w14:paraId="65C17BB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A3232A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10</w:t>
            </w:r>
          </w:p>
        </w:tc>
        <w:tc>
          <w:tcPr>
            <w:tcW w:w="1599" w:type="dxa"/>
            <w:tcBorders>
              <w:tl2br w:val="nil"/>
              <w:tr2bl w:val="nil"/>
            </w:tcBorders>
            <w:vAlign w:val="center"/>
          </w:tcPr>
          <w:p w14:paraId="7155BC2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设备动静密封点</w:t>
            </w:r>
            <w:r>
              <w:rPr>
                <w:rFonts w:hint="default" w:ascii="Times New Roman" w:hAnsi="Times New Roman" w:cs="Times New Roman"/>
                <w:spacing w:val="-5"/>
                <w:sz w:val="21"/>
                <w:szCs w:val="21"/>
              </w:rPr>
              <w:t>泄漏</w:t>
            </w:r>
          </w:p>
        </w:tc>
        <w:tc>
          <w:tcPr>
            <w:tcW w:w="2064" w:type="dxa"/>
            <w:tcBorders>
              <w:tl2br w:val="nil"/>
              <w:tr2bl w:val="nil"/>
            </w:tcBorders>
            <w:vAlign w:val="center"/>
          </w:tcPr>
          <w:p w14:paraId="57C893A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2"/>
                <w:sz w:val="21"/>
                <w:szCs w:val="21"/>
              </w:rPr>
              <w:t>有机液体介质的机</w:t>
            </w:r>
            <w:r>
              <w:rPr>
                <w:rFonts w:hint="default" w:ascii="Times New Roman" w:hAnsi="Times New Roman" w:cs="Times New Roman"/>
                <w:spacing w:val="-5"/>
                <w:sz w:val="21"/>
                <w:szCs w:val="21"/>
              </w:rPr>
              <w:t>泵、阀门、法兰等动</w:t>
            </w:r>
            <w:r>
              <w:rPr>
                <w:rFonts w:hint="default" w:ascii="Times New Roman" w:hAnsi="Times New Roman" w:cs="Times New Roman"/>
                <w:spacing w:val="-5"/>
                <w:sz w:val="21"/>
                <w:szCs w:val="21"/>
                <w:lang w:eastAsia="zh-CN"/>
              </w:rPr>
              <w:t>、</w:t>
            </w:r>
            <w:r>
              <w:rPr>
                <w:rFonts w:hint="default" w:ascii="Times New Roman" w:hAnsi="Times New Roman" w:cs="Times New Roman"/>
                <w:spacing w:val="-2"/>
                <w:sz w:val="21"/>
                <w:szCs w:val="21"/>
              </w:rPr>
              <w:t>静密封泄漏排放</w:t>
            </w:r>
          </w:p>
        </w:tc>
        <w:tc>
          <w:tcPr>
            <w:tcW w:w="1533" w:type="dxa"/>
            <w:tcBorders>
              <w:tl2br w:val="nil"/>
              <w:tr2bl w:val="nil"/>
            </w:tcBorders>
            <w:vAlign w:val="center"/>
          </w:tcPr>
          <w:p w14:paraId="1AD489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2AABBCD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
                <w:sz w:val="21"/>
                <w:szCs w:val="21"/>
              </w:rPr>
              <w:t>LDAR</w:t>
            </w:r>
            <w:r>
              <w:rPr>
                <w:rFonts w:hint="default" w:ascii="Times New Roman" w:hAnsi="Times New Roman" w:cs="Times New Roman"/>
                <w:spacing w:val="-1"/>
                <w:sz w:val="21"/>
                <w:szCs w:val="21"/>
              </w:rPr>
              <w:t>泄漏检测与修复</w:t>
            </w:r>
          </w:p>
        </w:tc>
      </w:tr>
      <w:tr w14:paraId="6C37311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11689F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1"/>
                <w:sz w:val="21"/>
                <w:szCs w:val="21"/>
              </w:rPr>
              <w:t>11</w:t>
            </w:r>
          </w:p>
        </w:tc>
        <w:tc>
          <w:tcPr>
            <w:tcW w:w="1599" w:type="dxa"/>
            <w:tcBorders>
              <w:tl2br w:val="nil"/>
              <w:tr2bl w:val="nil"/>
            </w:tcBorders>
            <w:vAlign w:val="center"/>
          </w:tcPr>
          <w:p w14:paraId="6058AF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废水收集及处理</w:t>
            </w:r>
            <w:r>
              <w:rPr>
                <w:rFonts w:hint="default" w:ascii="Times New Roman" w:hAnsi="Times New Roman" w:cs="Times New Roman"/>
                <w:spacing w:val="-4"/>
                <w:sz w:val="21"/>
                <w:szCs w:val="21"/>
              </w:rPr>
              <w:t>过程</w:t>
            </w:r>
          </w:p>
        </w:tc>
        <w:tc>
          <w:tcPr>
            <w:tcW w:w="2064" w:type="dxa"/>
            <w:tcBorders>
              <w:tl2br w:val="nil"/>
              <w:tr2bl w:val="nil"/>
            </w:tcBorders>
            <w:vAlign w:val="center"/>
          </w:tcPr>
          <w:p w14:paraId="2843161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废水处理废气</w:t>
            </w:r>
          </w:p>
        </w:tc>
        <w:tc>
          <w:tcPr>
            <w:tcW w:w="1533" w:type="dxa"/>
            <w:tcBorders>
              <w:tl2br w:val="nil"/>
              <w:tr2bl w:val="nil"/>
            </w:tcBorders>
            <w:vAlign w:val="center"/>
          </w:tcPr>
          <w:p w14:paraId="3769D75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0255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加盖、密闭、收集和化学吸收</w:t>
            </w:r>
            <w:r>
              <w:rPr>
                <w:rFonts w:hint="default" w:ascii="Times New Roman" w:hAnsi="Times New Roman" w:eastAsia="Times New Roman" w:cs="Times New Roman"/>
                <w:spacing w:val="4"/>
                <w:sz w:val="21"/>
                <w:szCs w:val="21"/>
              </w:rPr>
              <w:t>+</w:t>
            </w:r>
            <w:r>
              <w:rPr>
                <w:rFonts w:hint="default" w:ascii="Times New Roman" w:hAnsi="Times New Roman" w:cs="Times New Roman"/>
                <w:spacing w:val="4"/>
                <w:sz w:val="21"/>
                <w:szCs w:val="21"/>
              </w:rPr>
              <w:t>生物净化</w:t>
            </w:r>
            <w:r>
              <w:rPr>
                <w:rFonts w:hint="default" w:ascii="Times New Roman" w:hAnsi="Times New Roman" w:eastAsia="Times New Roman" w:cs="Times New Roman"/>
                <w:spacing w:val="4"/>
                <w:sz w:val="21"/>
                <w:szCs w:val="21"/>
              </w:rPr>
              <w:t>+</w:t>
            </w:r>
            <w:r>
              <w:rPr>
                <w:rFonts w:hint="default" w:ascii="Times New Roman" w:hAnsi="Times New Roman" w:cs="Times New Roman"/>
                <w:spacing w:val="-1"/>
                <w:sz w:val="21"/>
                <w:szCs w:val="21"/>
              </w:rPr>
              <w:t>氧化</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水洗、化学吸收</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水洗</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生物净化、水</w:t>
            </w:r>
            <w:r>
              <w:rPr>
                <w:rFonts w:hint="default" w:ascii="Times New Roman" w:hAnsi="Times New Roman" w:cs="Times New Roman"/>
                <w:spacing w:val="-2"/>
                <w:sz w:val="21"/>
                <w:szCs w:val="21"/>
              </w:rPr>
              <w:t>洗</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生物净化</w:t>
            </w:r>
          </w:p>
        </w:tc>
      </w:tr>
      <w:tr w14:paraId="0A4FB4F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0AEEA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12</w:t>
            </w:r>
          </w:p>
        </w:tc>
        <w:tc>
          <w:tcPr>
            <w:tcW w:w="1599" w:type="dxa"/>
            <w:tcBorders>
              <w:tl2br w:val="nil"/>
              <w:tr2bl w:val="nil"/>
            </w:tcBorders>
            <w:vAlign w:val="center"/>
          </w:tcPr>
          <w:p w14:paraId="0013616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危废间</w:t>
            </w:r>
          </w:p>
        </w:tc>
        <w:tc>
          <w:tcPr>
            <w:tcW w:w="2064" w:type="dxa"/>
            <w:tcBorders>
              <w:tl2br w:val="nil"/>
              <w:tr2bl w:val="nil"/>
            </w:tcBorders>
            <w:vAlign w:val="center"/>
          </w:tcPr>
          <w:p w14:paraId="0FD6D18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危废挥发废气</w:t>
            </w:r>
          </w:p>
        </w:tc>
        <w:tc>
          <w:tcPr>
            <w:tcW w:w="1533" w:type="dxa"/>
            <w:tcBorders>
              <w:tl2br w:val="nil"/>
              <w:tr2bl w:val="nil"/>
            </w:tcBorders>
            <w:vAlign w:val="center"/>
          </w:tcPr>
          <w:p w14:paraId="2F7A871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588FB87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密闭、收集、治理</w:t>
            </w:r>
          </w:p>
        </w:tc>
      </w:tr>
      <w:tr w14:paraId="4C12050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3C3B58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13</w:t>
            </w:r>
          </w:p>
        </w:tc>
        <w:tc>
          <w:tcPr>
            <w:tcW w:w="1599" w:type="dxa"/>
            <w:tcBorders>
              <w:tl2br w:val="nil"/>
              <w:tr2bl w:val="nil"/>
            </w:tcBorders>
            <w:vAlign w:val="center"/>
          </w:tcPr>
          <w:p w14:paraId="3A56C4D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危险废物焚烧炉</w:t>
            </w:r>
          </w:p>
        </w:tc>
        <w:tc>
          <w:tcPr>
            <w:tcW w:w="2064" w:type="dxa"/>
            <w:tcBorders>
              <w:tl2br w:val="nil"/>
              <w:tr2bl w:val="nil"/>
            </w:tcBorders>
            <w:vAlign w:val="center"/>
          </w:tcPr>
          <w:p w14:paraId="00C8703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焚烧炉烟气</w:t>
            </w:r>
          </w:p>
        </w:tc>
        <w:tc>
          <w:tcPr>
            <w:tcW w:w="1533" w:type="dxa"/>
            <w:tcBorders>
              <w:tl2br w:val="nil"/>
              <w:tr2bl w:val="nil"/>
            </w:tcBorders>
            <w:vAlign w:val="center"/>
          </w:tcPr>
          <w:p w14:paraId="68B5F5A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5"/>
                <w:sz w:val="21"/>
                <w:szCs w:val="21"/>
              </w:rPr>
              <w:t>PM</w:t>
            </w:r>
            <w:r>
              <w:rPr>
                <w:rFonts w:hint="default" w:ascii="Times New Roman" w:hAnsi="Times New Roman" w:cs="Times New Roman"/>
                <w:spacing w:val="-15"/>
                <w:sz w:val="21"/>
                <w:szCs w:val="21"/>
              </w:rPr>
              <w:t>、</w:t>
            </w:r>
            <w:r>
              <w:rPr>
                <w:rFonts w:hint="default" w:ascii="Times New Roman" w:hAnsi="Times New Roman" w:eastAsia="Times New Roman" w:cs="Times New Roman"/>
                <w:spacing w:val="-15"/>
                <w:sz w:val="21"/>
                <w:szCs w:val="21"/>
              </w:rPr>
              <w:t>SO</w:t>
            </w:r>
            <w:r>
              <w:rPr>
                <w:rFonts w:hint="default" w:ascii="Times New Roman" w:hAnsi="Times New Roman" w:eastAsia="Times New Roman" w:cs="Times New Roman"/>
                <w:spacing w:val="3"/>
                <w:position w:val="-1"/>
                <w:sz w:val="21"/>
                <w:szCs w:val="21"/>
                <w:vertAlign w:val="subscript"/>
              </w:rPr>
              <w:t>2</w:t>
            </w:r>
            <w:r>
              <w:rPr>
                <w:rFonts w:hint="default" w:ascii="Times New Roman" w:hAnsi="Times New Roman" w:cs="Times New Roman"/>
                <w:spacing w:val="-19"/>
                <w:w w:val="99"/>
                <w:position w:val="-1"/>
                <w:sz w:val="21"/>
                <w:szCs w:val="21"/>
              </w:rPr>
              <w:t>、</w:t>
            </w:r>
            <w:r>
              <w:rPr>
                <w:rFonts w:hint="default" w:ascii="Times New Roman" w:hAnsi="Times New Roman" w:eastAsia="Times New Roman" w:cs="Times New Roman"/>
                <w:spacing w:val="-19"/>
                <w:w w:val="99"/>
                <w:sz w:val="21"/>
                <w:szCs w:val="21"/>
              </w:rPr>
              <w:t>NOx</w:t>
            </w:r>
            <w:r>
              <w:rPr>
                <w:rFonts w:hint="default" w:ascii="Times New Roman" w:hAnsi="Times New Roman" w:cs="Times New Roman"/>
                <w:spacing w:val="-19"/>
                <w:w w:val="99"/>
                <w:sz w:val="21"/>
                <w:szCs w:val="21"/>
                <w:lang w:eastAsia="zh-CN"/>
              </w:rPr>
              <w:t>、</w:t>
            </w:r>
            <w:r>
              <w:rPr>
                <w:rFonts w:hint="default" w:ascii="Times New Roman" w:hAnsi="Times New Roman" w:eastAsia="Times New Roman" w:cs="Times New Roman"/>
                <w:spacing w:val="-1"/>
                <w:sz w:val="21"/>
                <w:szCs w:val="21"/>
              </w:rPr>
              <w:t>VOCs</w:t>
            </w:r>
            <w:r>
              <w:rPr>
                <w:rFonts w:hint="default" w:ascii="Times New Roman" w:hAnsi="Times New Roman" w:cs="Times New Roman"/>
                <w:spacing w:val="-1"/>
                <w:sz w:val="21"/>
                <w:szCs w:val="21"/>
              </w:rPr>
              <w:t>等</w:t>
            </w:r>
          </w:p>
        </w:tc>
        <w:tc>
          <w:tcPr>
            <w:tcW w:w="3849" w:type="dxa"/>
            <w:tcBorders>
              <w:tl2br w:val="nil"/>
              <w:tr2bl w:val="nil"/>
            </w:tcBorders>
            <w:vAlign w:val="center"/>
          </w:tcPr>
          <w:p w14:paraId="4874CAA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静电除尘、袋式除尘等，石灰石</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石灰</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石膏</w:t>
            </w:r>
            <w:r>
              <w:rPr>
                <w:rFonts w:hint="default" w:ascii="Times New Roman" w:hAnsi="Times New Roman" w:cs="Times New Roman"/>
                <w:spacing w:val="-9"/>
                <w:sz w:val="21"/>
                <w:szCs w:val="21"/>
              </w:rPr>
              <w:t>湿法脱硫、双碱法脱硫等，低氮燃烧、</w:t>
            </w:r>
            <w:r>
              <w:rPr>
                <w:rFonts w:hint="default" w:ascii="Times New Roman" w:hAnsi="Times New Roman" w:eastAsia="Times New Roman" w:cs="Times New Roman"/>
                <w:spacing w:val="-9"/>
                <w:sz w:val="21"/>
                <w:szCs w:val="21"/>
              </w:rPr>
              <w:t>SCR</w:t>
            </w:r>
            <w:r>
              <w:rPr>
                <w:rFonts w:hint="default" w:ascii="Times New Roman" w:hAnsi="Times New Roman" w:cs="Times New Roman"/>
                <w:spacing w:val="-9"/>
                <w:sz w:val="21"/>
                <w:szCs w:val="21"/>
                <w:lang w:eastAsia="zh-CN"/>
              </w:rPr>
              <w:t>、</w:t>
            </w:r>
            <w:r>
              <w:rPr>
                <w:rFonts w:hint="default" w:ascii="Times New Roman" w:hAnsi="Times New Roman" w:eastAsia="Times New Roman" w:cs="Times New Roman"/>
                <w:spacing w:val="-1"/>
                <w:sz w:val="21"/>
                <w:szCs w:val="21"/>
              </w:rPr>
              <w:t>SNCR</w:t>
            </w:r>
            <w:r>
              <w:rPr>
                <w:rFonts w:hint="default" w:ascii="Times New Roman" w:hAnsi="Times New Roman" w:cs="Times New Roman"/>
                <w:spacing w:val="-1"/>
                <w:sz w:val="21"/>
                <w:szCs w:val="21"/>
              </w:rPr>
              <w:t>等，吸收、吸附等</w:t>
            </w:r>
          </w:p>
        </w:tc>
      </w:tr>
      <w:tr w14:paraId="4E75996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0436811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14</w:t>
            </w:r>
          </w:p>
        </w:tc>
        <w:tc>
          <w:tcPr>
            <w:tcW w:w="1599" w:type="dxa"/>
            <w:vMerge w:val="restart"/>
            <w:tcBorders>
              <w:tl2br w:val="nil"/>
              <w:tr2bl w:val="nil"/>
            </w:tcBorders>
            <w:vAlign w:val="center"/>
          </w:tcPr>
          <w:p w14:paraId="2C0D3360">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锅炉</w:t>
            </w:r>
          </w:p>
        </w:tc>
        <w:tc>
          <w:tcPr>
            <w:tcW w:w="2064" w:type="dxa"/>
            <w:vMerge w:val="restart"/>
            <w:tcBorders>
              <w:tl2br w:val="nil"/>
              <w:tr2bl w:val="nil"/>
            </w:tcBorders>
            <w:vAlign w:val="center"/>
          </w:tcPr>
          <w:p w14:paraId="392D23F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锅炉烟气</w:t>
            </w:r>
          </w:p>
        </w:tc>
        <w:tc>
          <w:tcPr>
            <w:tcW w:w="1533" w:type="dxa"/>
            <w:tcBorders>
              <w:tl2br w:val="nil"/>
              <w:tr2bl w:val="nil"/>
            </w:tcBorders>
            <w:vAlign w:val="center"/>
          </w:tcPr>
          <w:p w14:paraId="4E03020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3"/>
                <w:sz w:val="21"/>
                <w:szCs w:val="21"/>
              </w:rPr>
              <w:t>SO</w:t>
            </w:r>
            <w:r>
              <w:rPr>
                <w:rFonts w:hint="default" w:ascii="Times New Roman" w:hAnsi="Times New Roman" w:eastAsia="Times New Roman" w:cs="Times New Roman"/>
                <w:spacing w:val="-3"/>
                <w:position w:val="-1"/>
                <w:sz w:val="21"/>
                <w:szCs w:val="21"/>
                <w:vertAlign w:val="subscript"/>
              </w:rPr>
              <w:t>2</w:t>
            </w:r>
          </w:p>
        </w:tc>
        <w:tc>
          <w:tcPr>
            <w:tcW w:w="3849" w:type="dxa"/>
            <w:tcBorders>
              <w:tl2br w:val="nil"/>
              <w:tr2bl w:val="nil"/>
            </w:tcBorders>
            <w:vAlign w:val="center"/>
          </w:tcPr>
          <w:p w14:paraId="1A197B6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9"/>
                <w:sz w:val="21"/>
                <w:szCs w:val="21"/>
              </w:rPr>
              <w:t>湿法脱硫（石灰石</w:t>
            </w:r>
            <w:r>
              <w:rPr>
                <w:rFonts w:hint="default" w:ascii="Times New Roman" w:hAnsi="Times New Roman" w:eastAsia="Times New Roman" w:cs="Times New Roman"/>
                <w:spacing w:val="-9"/>
                <w:sz w:val="21"/>
                <w:szCs w:val="21"/>
              </w:rPr>
              <w:t>/</w:t>
            </w:r>
            <w:r>
              <w:rPr>
                <w:rFonts w:hint="default" w:ascii="Times New Roman" w:hAnsi="Times New Roman" w:cs="Times New Roman"/>
                <w:spacing w:val="-9"/>
                <w:sz w:val="21"/>
                <w:szCs w:val="21"/>
              </w:rPr>
              <w:t>石灰</w:t>
            </w:r>
            <w:r>
              <w:rPr>
                <w:rFonts w:hint="eastAsia" w:ascii="Times New Roman" w:hAnsi="Times New Roman" w:cs="Times New Roman"/>
                <w:spacing w:val="-9"/>
                <w:sz w:val="21"/>
                <w:szCs w:val="21"/>
                <w:lang w:eastAsia="zh-CN"/>
              </w:rPr>
              <w:t>－</w:t>
            </w:r>
            <w:r>
              <w:rPr>
                <w:rFonts w:hint="default" w:ascii="Times New Roman" w:hAnsi="Times New Roman" w:cs="Times New Roman"/>
                <w:spacing w:val="-9"/>
                <w:sz w:val="21"/>
                <w:szCs w:val="21"/>
              </w:rPr>
              <w:t>石膏、氨法）、喷雾</w:t>
            </w:r>
            <w:r>
              <w:rPr>
                <w:rFonts w:hint="default" w:ascii="Times New Roman" w:hAnsi="Times New Roman" w:cs="Times New Roman"/>
                <w:spacing w:val="-1"/>
                <w:sz w:val="21"/>
                <w:szCs w:val="21"/>
              </w:rPr>
              <w:t>干燥法脱硫、循环流化床法脱硫</w:t>
            </w:r>
          </w:p>
        </w:tc>
      </w:tr>
      <w:tr w14:paraId="601CE1C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4873B9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622A0DC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7CE747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5C2C98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49" w:type="dxa"/>
            <w:tcBorders>
              <w:tl2br w:val="nil"/>
              <w:tr2bl w:val="nil"/>
            </w:tcBorders>
            <w:vAlign w:val="center"/>
          </w:tcPr>
          <w:p w14:paraId="1986F52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电除尘、袋式除尘、电袋除尘</w:t>
            </w:r>
          </w:p>
        </w:tc>
      </w:tr>
      <w:tr w14:paraId="008EBF5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1CF6D0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7CDECDC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2055BC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0C9C0D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NOx</w:t>
            </w:r>
          </w:p>
        </w:tc>
        <w:tc>
          <w:tcPr>
            <w:tcW w:w="3849" w:type="dxa"/>
            <w:tcBorders>
              <w:tl2br w:val="nil"/>
              <w:tr2bl w:val="nil"/>
            </w:tcBorders>
            <w:vAlign w:val="center"/>
          </w:tcPr>
          <w:p w14:paraId="0C1879B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cs="Times New Roman"/>
                <w:spacing w:val="-1"/>
                <w:sz w:val="21"/>
                <w:szCs w:val="21"/>
              </w:rPr>
              <w:t>低氮燃烧技术、</w:t>
            </w:r>
            <w:r>
              <w:rPr>
                <w:rFonts w:hint="default" w:ascii="Times New Roman" w:hAnsi="Times New Roman" w:eastAsia="Times New Roman" w:cs="Times New Roman"/>
                <w:spacing w:val="-1"/>
                <w:sz w:val="21"/>
                <w:szCs w:val="21"/>
              </w:rPr>
              <w:t>SCR</w:t>
            </w:r>
            <w:r>
              <w:rPr>
                <w:rFonts w:hint="default" w:ascii="Times New Roman" w:hAnsi="Times New Roman" w:cs="Times New Roman"/>
                <w:spacing w:val="-1"/>
                <w:sz w:val="21"/>
                <w:szCs w:val="21"/>
              </w:rPr>
              <w:t>、</w:t>
            </w:r>
            <w:r>
              <w:rPr>
                <w:rFonts w:hint="default" w:ascii="Times New Roman" w:hAnsi="Times New Roman" w:eastAsia="Times New Roman" w:cs="Times New Roman"/>
                <w:spacing w:val="-1"/>
                <w:sz w:val="21"/>
                <w:szCs w:val="21"/>
              </w:rPr>
              <w:t>SNCR</w:t>
            </w:r>
          </w:p>
        </w:tc>
      </w:tr>
    </w:tbl>
    <w:p w14:paraId="3CA20F78">
      <w:pPr>
        <w:spacing w:before="198" w:line="196" w:lineRule="auto"/>
        <w:ind w:left="742"/>
        <w:rPr>
          <w:rFonts w:hint="default" w:ascii="Times New Roman" w:hAnsi="Times New Roman" w:eastAsia="微软雅黑" w:cs="Times New Roman"/>
          <w:spacing w:val="-6"/>
          <w:sz w:val="31"/>
          <w:szCs w:val="31"/>
        </w:rPr>
      </w:pPr>
    </w:p>
    <w:p w14:paraId="04F5D900">
      <w:pPr>
        <w:spacing w:before="198" w:line="196" w:lineRule="auto"/>
        <w:ind w:left="742"/>
        <w:rPr>
          <w:rFonts w:hint="default" w:ascii="Times New Roman" w:hAnsi="Times New Roman" w:eastAsia="微软雅黑" w:cs="Times New Roman"/>
          <w:spacing w:val="-6"/>
          <w:sz w:val="31"/>
          <w:szCs w:val="31"/>
        </w:rPr>
      </w:pPr>
    </w:p>
    <w:p w14:paraId="4E2F9D93">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outlineLvl w:val="9"/>
        <w:rPr>
          <w:rFonts w:hint="default" w:ascii="Times New Roman" w:hAnsi="Times New Roman" w:eastAsia="楷体" w:cs="Times New Roman"/>
          <w:b/>
          <w:sz w:val="30"/>
          <w:szCs w:val="30"/>
        </w:rPr>
        <w:sectPr>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736DB5C1">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rPr>
      </w:pPr>
      <w:bookmarkStart w:id="37" w:name="_Toc23002"/>
      <w:bookmarkStart w:id="38" w:name="_Toc25848"/>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37"/>
      <w:bookmarkEnd w:id="38"/>
    </w:p>
    <w:p w14:paraId="47C6FE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3</w:t>
      </w:r>
      <w:r>
        <w:rPr>
          <w:rFonts w:hint="default" w:ascii="Times New Roman" w:hAnsi="Times New Roman" w:eastAsia="宋体" w:cs="Times New Roman"/>
          <w:b/>
          <w:bCs/>
          <w:spacing w:val="7"/>
          <w:sz w:val="28"/>
          <w:szCs w:val="28"/>
        </w:rPr>
        <w:t>-2</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有机化工企业绩效分级指标</w:t>
      </w:r>
    </w:p>
    <w:p w14:paraId="1FA7CC6F">
      <w:pPr>
        <w:spacing w:line="86" w:lineRule="exact"/>
        <w:rPr>
          <w:rFonts w:hint="default" w:ascii="Times New Roman" w:hAnsi="Times New Roman" w:cs="Times New Roman"/>
        </w:rPr>
      </w:pPr>
    </w:p>
    <w:tbl>
      <w:tblPr>
        <w:tblStyle w:val="12"/>
        <w:tblW w:w="502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7"/>
        <w:gridCol w:w="4462"/>
        <w:gridCol w:w="4733"/>
        <w:gridCol w:w="2799"/>
        <w:gridCol w:w="1422"/>
      </w:tblGrid>
      <w:tr w14:paraId="3BEEA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blHeader/>
        </w:trPr>
        <w:tc>
          <w:tcPr>
            <w:tcW w:w="1327" w:type="dxa"/>
            <w:vAlign w:val="center"/>
          </w:tcPr>
          <w:p w14:paraId="54991A2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7"/>
                <w:sz w:val="21"/>
                <w:szCs w:val="21"/>
              </w:rPr>
              <w:t>差异化指标</w:t>
            </w:r>
          </w:p>
        </w:tc>
        <w:tc>
          <w:tcPr>
            <w:tcW w:w="4462" w:type="dxa"/>
            <w:vAlign w:val="center"/>
          </w:tcPr>
          <w:p w14:paraId="029F39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5"/>
                <w:sz w:val="21"/>
                <w:szCs w:val="21"/>
              </w:rPr>
              <w:t>A级企业</w:t>
            </w:r>
          </w:p>
        </w:tc>
        <w:tc>
          <w:tcPr>
            <w:tcW w:w="4733" w:type="dxa"/>
            <w:vAlign w:val="center"/>
          </w:tcPr>
          <w:p w14:paraId="34A977A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B级企业</w:t>
            </w:r>
          </w:p>
        </w:tc>
        <w:tc>
          <w:tcPr>
            <w:tcW w:w="2799" w:type="dxa"/>
            <w:vAlign w:val="center"/>
          </w:tcPr>
          <w:p w14:paraId="36D330F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C级企业</w:t>
            </w:r>
          </w:p>
        </w:tc>
        <w:tc>
          <w:tcPr>
            <w:tcW w:w="1422" w:type="dxa"/>
            <w:vAlign w:val="center"/>
          </w:tcPr>
          <w:p w14:paraId="71632461">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4"/>
                <w:sz w:val="21"/>
                <w:szCs w:val="21"/>
                <w:lang w:val="en-US" w:eastAsia="zh-CN"/>
              </w:rPr>
            </w:pPr>
            <w:r>
              <w:rPr>
                <w:rFonts w:hint="default" w:ascii="Times New Roman" w:hAnsi="Times New Roman" w:cs="Times New Roman"/>
                <w:b/>
                <w:bCs/>
                <w:spacing w:val="4"/>
                <w:sz w:val="21"/>
                <w:szCs w:val="21"/>
                <w:lang w:val="en-US" w:eastAsia="zh-CN"/>
              </w:rPr>
              <w:t>D级企业</w:t>
            </w:r>
          </w:p>
        </w:tc>
      </w:tr>
      <w:tr w14:paraId="77406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1014FAB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源头控制</w:t>
            </w:r>
          </w:p>
        </w:tc>
        <w:tc>
          <w:tcPr>
            <w:tcW w:w="11994" w:type="dxa"/>
            <w:gridSpan w:val="3"/>
            <w:vAlign w:val="center"/>
          </w:tcPr>
          <w:p w14:paraId="4E15801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反应尾气、蒸馏装置不凝尾气等工艺排气，工艺容器的置换气、吹扫气</w:t>
            </w:r>
            <w:r>
              <w:rPr>
                <w:rFonts w:hint="default" w:ascii="Times New Roman" w:hAnsi="Times New Roman" w:eastAsia="宋体" w:cs="Times New Roman"/>
                <w:b w:val="0"/>
                <w:bCs w:val="0"/>
                <w:spacing w:val="6"/>
                <w:sz w:val="21"/>
                <w:szCs w:val="21"/>
              </w:rPr>
              <w:t>、抽真空排气等全部收集治理。</w:t>
            </w:r>
          </w:p>
        </w:tc>
        <w:tc>
          <w:tcPr>
            <w:tcW w:w="1422" w:type="dxa"/>
            <w:vAlign w:val="center"/>
          </w:tcPr>
          <w:p w14:paraId="5C5E93A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6B42D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327" w:type="dxa"/>
            <w:vMerge w:val="restart"/>
            <w:tcBorders>
              <w:bottom w:val="nil"/>
            </w:tcBorders>
            <w:vAlign w:val="center"/>
          </w:tcPr>
          <w:p w14:paraId="57FB40D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生产工艺及</w:t>
            </w:r>
          </w:p>
          <w:p w14:paraId="7A6FC6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装备水平</w:t>
            </w:r>
          </w:p>
        </w:tc>
        <w:tc>
          <w:tcPr>
            <w:tcW w:w="11994" w:type="dxa"/>
            <w:gridSpan w:val="3"/>
            <w:tcBorders>
              <w:bottom w:val="single" w:color="auto" w:sz="4" w:space="0"/>
            </w:tcBorders>
          </w:tcPr>
          <w:p w14:paraId="19ADBC5D">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6"/>
                <w:sz w:val="21"/>
                <w:szCs w:val="21"/>
                <w:lang w:eastAsia="zh-CN"/>
              </w:rPr>
              <w:t>1.</w:t>
            </w:r>
            <w:r>
              <w:rPr>
                <w:rFonts w:hint="default" w:ascii="Times New Roman" w:hAnsi="Times New Roman" w:eastAsia="宋体" w:cs="Times New Roman"/>
                <w:b w:val="0"/>
                <w:bCs w:val="0"/>
                <w:spacing w:val="6"/>
                <w:sz w:val="21"/>
                <w:szCs w:val="21"/>
              </w:rPr>
              <w:t>属于《产业结构调整指导目录（2024年版）》鼓励类和允许类；2</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符合相关行业产业政策；3</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符合</w:t>
            </w:r>
            <w:r>
              <w:rPr>
                <w:rFonts w:hint="default" w:ascii="Times New Roman" w:hAnsi="Times New Roman" w:cs="Times New Roman"/>
                <w:b w:val="0"/>
                <w:bCs w:val="0"/>
                <w:spacing w:val="6"/>
                <w:sz w:val="21"/>
                <w:szCs w:val="21"/>
                <w:lang w:val="en-US" w:eastAsia="zh-CN"/>
              </w:rPr>
              <w:t>湖北</w:t>
            </w:r>
            <w:r>
              <w:rPr>
                <w:rFonts w:hint="default" w:ascii="Times New Roman" w:hAnsi="Times New Roman" w:eastAsia="宋体" w:cs="Times New Roman"/>
                <w:b w:val="0"/>
                <w:bCs w:val="0"/>
                <w:spacing w:val="7"/>
                <w:sz w:val="21"/>
                <w:szCs w:val="21"/>
              </w:rPr>
              <w:t>省相关政策要求；4</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符合市级规划。</w:t>
            </w:r>
          </w:p>
        </w:tc>
        <w:tc>
          <w:tcPr>
            <w:tcW w:w="1422" w:type="dxa"/>
            <w:tcBorders>
              <w:bottom w:val="single" w:color="auto" w:sz="4" w:space="0"/>
            </w:tcBorders>
          </w:tcPr>
          <w:p w14:paraId="3807CC4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5D2E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27" w:type="dxa"/>
            <w:vMerge w:val="continue"/>
            <w:tcBorders>
              <w:top w:val="nil"/>
            </w:tcBorders>
            <w:vAlign w:val="center"/>
          </w:tcPr>
          <w:p w14:paraId="0A210F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p>
        </w:tc>
        <w:tc>
          <w:tcPr>
            <w:tcW w:w="4462" w:type="dxa"/>
            <w:tcBorders>
              <w:top w:val="single" w:color="auto" w:sz="4" w:space="0"/>
            </w:tcBorders>
            <w:vAlign w:val="center"/>
          </w:tcPr>
          <w:p w14:paraId="28C385B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4"/>
                <w:sz w:val="21"/>
                <w:szCs w:val="21"/>
              </w:rPr>
              <w:t>采用密闭化、管道化（液态物料）、全自动生产</w:t>
            </w:r>
            <w:r>
              <w:rPr>
                <w:rFonts w:hint="default" w:ascii="Times New Roman" w:hAnsi="Times New Roman" w:eastAsia="宋体" w:cs="Times New Roman"/>
                <w:b w:val="0"/>
                <w:bCs w:val="0"/>
                <w:spacing w:val="2"/>
                <w:sz w:val="21"/>
                <w:szCs w:val="21"/>
              </w:rPr>
              <w:t>线（涉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2"/>
                <w:sz w:val="21"/>
                <w:szCs w:val="21"/>
              </w:rPr>
              <w:t>产生点）。</w:t>
            </w:r>
          </w:p>
        </w:tc>
        <w:tc>
          <w:tcPr>
            <w:tcW w:w="4733" w:type="dxa"/>
            <w:tcBorders>
              <w:top w:val="single" w:color="auto" w:sz="4" w:space="0"/>
            </w:tcBorders>
            <w:vAlign w:val="center"/>
          </w:tcPr>
          <w:p w14:paraId="0756B4BC">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采用密闭化、半自动化生产线（涉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6"/>
                <w:sz w:val="21"/>
                <w:szCs w:val="21"/>
              </w:rPr>
              <w:t>产生点）。</w:t>
            </w:r>
          </w:p>
        </w:tc>
        <w:tc>
          <w:tcPr>
            <w:tcW w:w="4221" w:type="dxa"/>
            <w:gridSpan w:val="2"/>
            <w:tcBorders>
              <w:top w:val="single" w:color="auto" w:sz="4" w:space="0"/>
            </w:tcBorders>
            <w:vAlign w:val="center"/>
          </w:tcPr>
          <w:p w14:paraId="3D48D928">
            <w:pPr>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未达到B</w:t>
            </w:r>
            <w:r>
              <w:rPr>
                <w:rFonts w:hint="default" w:ascii="Times New Roman" w:hAnsi="Times New Roman" w:eastAsia="宋体" w:cs="Times New Roman"/>
                <w:b w:val="0"/>
                <w:bCs w:val="0"/>
                <w:spacing w:val="5"/>
                <w:sz w:val="21"/>
                <w:szCs w:val="21"/>
              </w:rPr>
              <w:t>级要求</w:t>
            </w:r>
          </w:p>
        </w:tc>
      </w:tr>
      <w:tr w14:paraId="26A25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41001DF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工艺过程</w:t>
            </w:r>
          </w:p>
        </w:tc>
        <w:tc>
          <w:tcPr>
            <w:tcW w:w="4462" w:type="dxa"/>
          </w:tcPr>
          <w:p w14:paraId="10C79E6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1.</w:t>
            </w:r>
            <w:r>
              <w:rPr>
                <w:rFonts w:hint="default" w:ascii="Times New Roman" w:hAnsi="Times New Roman" w:eastAsia="宋体" w:cs="Times New Roman"/>
                <w:b w:val="0"/>
                <w:bCs w:val="0"/>
                <w:spacing w:val="5"/>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物料的投加和卸放、化学反应、萃取</w:t>
            </w:r>
            <w:r>
              <w:rPr>
                <w:rFonts w:hint="default" w:ascii="Times New Roman" w:hAnsi="Times New Roman" w:cs="Times New Roman"/>
                <w:b w:val="0"/>
                <w:bCs w:val="0"/>
                <w:sz w:val="21"/>
                <w:szCs w:val="21"/>
                <w:lang w:eastAsia="zh-CN"/>
              </w:rPr>
              <w:t>/</w:t>
            </w:r>
            <w:r>
              <w:rPr>
                <w:rFonts w:hint="default" w:ascii="Times New Roman" w:hAnsi="Times New Roman" w:eastAsia="宋体" w:cs="Times New Roman"/>
                <w:b w:val="0"/>
                <w:bCs w:val="0"/>
                <w:spacing w:val="3"/>
                <w:sz w:val="21"/>
                <w:szCs w:val="21"/>
              </w:rPr>
              <w:t>提取、蒸馏/精馏、结晶以及配料、混合</w:t>
            </w:r>
            <w:r>
              <w:rPr>
                <w:rFonts w:hint="default" w:ascii="Times New Roman" w:hAnsi="Times New Roman" w:eastAsia="宋体" w:cs="Times New Roman"/>
                <w:b w:val="0"/>
                <w:bCs w:val="0"/>
                <w:spacing w:val="2"/>
                <w:sz w:val="21"/>
                <w:szCs w:val="21"/>
              </w:rPr>
              <w:t>、搅拌</w:t>
            </w:r>
            <w:r>
              <w:rPr>
                <w:rFonts w:hint="default" w:ascii="Times New Roman" w:hAnsi="Times New Roman" w:eastAsia="宋体" w:cs="Times New Roman"/>
                <w:b w:val="0"/>
                <w:bCs w:val="0"/>
                <w:spacing w:val="2"/>
                <w:sz w:val="21"/>
                <w:szCs w:val="21"/>
                <w:lang w:eastAsia="zh-CN"/>
              </w:rPr>
              <w:t>、</w:t>
            </w:r>
            <w:r>
              <w:rPr>
                <w:rFonts w:hint="default" w:ascii="Times New Roman" w:hAnsi="Times New Roman" w:eastAsia="宋体" w:cs="Times New Roman"/>
                <w:b w:val="0"/>
                <w:bCs w:val="0"/>
                <w:spacing w:val="11"/>
                <w:sz w:val="21"/>
                <w:szCs w:val="21"/>
              </w:rPr>
              <w:t>包装等过程，采用密闭设备，废气全部收集治</w:t>
            </w:r>
            <w:r>
              <w:rPr>
                <w:rFonts w:hint="default" w:ascii="Times New Roman" w:hAnsi="Times New Roman" w:eastAsia="宋体" w:cs="Times New Roman"/>
                <w:b w:val="0"/>
                <w:bCs w:val="0"/>
                <w:spacing w:val="2"/>
                <w:sz w:val="21"/>
                <w:szCs w:val="21"/>
              </w:rPr>
              <w:t>理；</w:t>
            </w:r>
          </w:p>
          <w:p w14:paraId="3869FBB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物料的离心、过滤单元操作采用密闭</w:t>
            </w:r>
            <w:r>
              <w:rPr>
                <w:rFonts w:hint="default" w:ascii="Times New Roman" w:hAnsi="Times New Roman" w:eastAsia="宋体" w:cs="Times New Roman"/>
                <w:b w:val="0"/>
                <w:bCs w:val="0"/>
                <w:spacing w:val="11"/>
                <w:sz w:val="21"/>
                <w:szCs w:val="21"/>
              </w:rPr>
              <w:t>式离心机、过滤机、真空泵等设备；干燥单元操作采用密闭干燥设备；密闭设备排放的废气</w:t>
            </w:r>
            <w:r>
              <w:rPr>
                <w:rFonts w:hint="default" w:ascii="Times New Roman" w:hAnsi="Times New Roman" w:eastAsia="宋体" w:cs="Times New Roman"/>
                <w:b w:val="0"/>
                <w:bCs w:val="0"/>
                <w:spacing w:val="8"/>
                <w:sz w:val="21"/>
                <w:szCs w:val="21"/>
              </w:rPr>
              <w:t>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废气收集处理系统；</w:t>
            </w:r>
          </w:p>
          <w:p w14:paraId="285BE9D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19"/>
                <w:sz w:val="21"/>
                <w:szCs w:val="21"/>
                <w:lang w:eastAsia="zh-CN"/>
              </w:rPr>
              <w:t>3.</w:t>
            </w:r>
            <w:r>
              <w:rPr>
                <w:rFonts w:hint="default" w:ascii="Times New Roman" w:hAnsi="Times New Roman" w:eastAsia="宋体" w:cs="Times New Roman"/>
                <w:b w:val="0"/>
                <w:bCs w:val="0"/>
                <w:spacing w:val="19"/>
                <w:sz w:val="21"/>
                <w:szCs w:val="21"/>
              </w:rPr>
              <w:t>载有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19"/>
                <w:sz w:val="21"/>
                <w:szCs w:val="21"/>
              </w:rPr>
              <w:t>物料的设备及其管道在开停工</w:t>
            </w:r>
            <w:r>
              <w:rPr>
                <w:rFonts w:hint="default" w:ascii="Times New Roman" w:hAnsi="Times New Roman" w:eastAsia="宋体" w:cs="Times New Roman"/>
                <w:b w:val="0"/>
                <w:bCs w:val="0"/>
                <w:spacing w:val="3"/>
                <w:sz w:val="21"/>
                <w:szCs w:val="21"/>
              </w:rPr>
              <w:t>（车）、检维修和清洗时，含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3"/>
                <w:sz w:val="21"/>
                <w:szCs w:val="21"/>
              </w:rPr>
              <w:t>物料用密闭</w:t>
            </w:r>
            <w:r>
              <w:rPr>
                <w:rFonts w:hint="default" w:ascii="Times New Roman" w:hAnsi="Times New Roman" w:eastAsia="宋体" w:cs="Times New Roman"/>
                <w:b w:val="0"/>
                <w:bCs w:val="0"/>
                <w:spacing w:val="5"/>
                <w:sz w:val="21"/>
                <w:szCs w:val="21"/>
              </w:rPr>
              <w:t>容器盛装，废气排至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废气收集处理系统；</w:t>
            </w:r>
          </w:p>
          <w:p w14:paraId="523DFA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4.</w:t>
            </w:r>
            <w:r>
              <w:rPr>
                <w:rFonts w:hint="default" w:ascii="Times New Roman" w:hAnsi="Times New Roman" w:eastAsia="宋体" w:cs="Times New Roman"/>
                <w:b w:val="0"/>
                <w:bCs w:val="0"/>
                <w:spacing w:val="8"/>
                <w:sz w:val="21"/>
                <w:szCs w:val="21"/>
              </w:rPr>
              <w:t>液态</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物料采用密闭管道输送方式；</w:t>
            </w:r>
          </w:p>
          <w:p w14:paraId="5A79B420">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5.</w:t>
            </w:r>
            <w:r>
              <w:rPr>
                <w:rFonts w:hint="default" w:ascii="Times New Roman" w:hAnsi="Times New Roman" w:eastAsia="宋体" w:cs="Times New Roman"/>
                <w:b w:val="0"/>
                <w:bCs w:val="0"/>
                <w:spacing w:val="5"/>
                <w:sz w:val="21"/>
                <w:szCs w:val="21"/>
              </w:rPr>
              <w:t>粉状、粒状物料采用气力输送方式或密闭固体</w:t>
            </w:r>
            <w:r>
              <w:rPr>
                <w:rFonts w:hint="default" w:ascii="Times New Roman" w:hAnsi="Times New Roman" w:eastAsia="宋体" w:cs="Times New Roman"/>
                <w:b w:val="0"/>
                <w:bCs w:val="0"/>
                <w:spacing w:val="7"/>
                <w:sz w:val="21"/>
                <w:szCs w:val="21"/>
              </w:rPr>
              <w:t>投料器等给料方式投加。</w:t>
            </w:r>
          </w:p>
        </w:tc>
        <w:tc>
          <w:tcPr>
            <w:tcW w:w="4733" w:type="dxa"/>
          </w:tcPr>
          <w:p w14:paraId="1357841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物料的投加卸放、化学反应、萃取/提</w:t>
            </w:r>
            <w:r>
              <w:rPr>
                <w:rFonts w:hint="default" w:ascii="Times New Roman" w:hAnsi="Times New Roman" w:eastAsia="宋体" w:cs="Times New Roman"/>
                <w:b w:val="0"/>
                <w:bCs w:val="0"/>
                <w:spacing w:val="7"/>
                <w:sz w:val="21"/>
                <w:szCs w:val="21"/>
              </w:rPr>
              <w:t>取、蒸馏/精馏、结晶以及配料、混合、搅拌、包装</w:t>
            </w:r>
            <w:r>
              <w:rPr>
                <w:rFonts w:hint="default" w:ascii="Times New Roman" w:hAnsi="Times New Roman" w:eastAsia="宋体" w:cs="Times New Roman"/>
                <w:b w:val="0"/>
                <w:bCs w:val="0"/>
                <w:spacing w:val="9"/>
                <w:sz w:val="21"/>
                <w:szCs w:val="21"/>
              </w:rPr>
              <w:t>等过程，采用密闭设备或在密闭空间内操作，废气</w:t>
            </w:r>
            <w:r>
              <w:rPr>
                <w:rFonts w:hint="default" w:ascii="Times New Roman" w:hAnsi="Times New Roman" w:eastAsia="宋体" w:cs="Times New Roman"/>
                <w:b w:val="0"/>
                <w:bCs w:val="0"/>
                <w:spacing w:val="6"/>
                <w:sz w:val="21"/>
                <w:szCs w:val="21"/>
              </w:rPr>
              <w:t>全部收集治理</w:t>
            </w:r>
            <w:r>
              <w:rPr>
                <w:rFonts w:hint="default" w:ascii="Times New Roman" w:hAnsi="Times New Roman" w:cs="Times New Roman"/>
                <w:b w:val="0"/>
                <w:bCs w:val="0"/>
                <w:spacing w:val="6"/>
                <w:sz w:val="21"/>
                <w:szCs w:val="21"/>
                <w:lang w:eastAsia="zh-CN"/>
              </w:rPr>
              <w:t>；</w:t>
            </w:r>
          </w:p>
          <w:p w14:paraId="4CB7557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0"/>
                <w:sz w:val="21"/>
                <w:szCs w:val="21"/>
                <w:lang w:eastAsia="zh-CN"/>
              </w:rPr>
              <w:t>2.</w:t>
            </w:r>
            <w:r>
              <w:rPr>
                <w:rFonts w:hint="default" w:ascii="Times New Roman" w:hAnsi="Times New Roman" w:eastAsia="宋体" w:cs="Times New Roman"/>
                <w:b w:val="0"/>
                <w:bCs w:val="0"/>
                <w:spacing w:val="10"/>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10"/>
                <w:sz w:val="21"/>
                <w:szCs w:val="21"/>
              </w:rPr>
              <w:t>物料的离心、过滤单元操作采用密闭式</w:t>
            </w:r>
            <w:r>
              <w:rPr>
                <w:rFonts w:hint="default" w:ascii="Times New Roman" w:hAnsi="Times New Roman" w:eastAsia="宋体" w:cs="Times New Roman"/>
                <w:b w:val="0"/>
                <w:bCs w:val="0"/>
                <w:spacing w:val="9"/>
                <w:sz w:val="21"/>
                <w:szCs w:val="21"/>
              </w:rPr>
              <w:t>离心机、过滤机等设备，或在密闭空间内操作；干燥单元操作采用密闭干燥设备，或在密闭空间内操作；上述设备或空间废气排至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废气收集处理</w:t>
            </w:r>
            <w:r>
              <w:rPr>
                <w:rFonts w:hint="default" w:ascii="Times New Roman" w:hAnsi="Times New Roman" w:eastAsia="宋体" w:cs="Times New Roman"/>
                <w:b w:val="0"/>
                <w:bCs w:val="0"/>
                <w:spacing w:val="3"/>
                <w:sz w:val="21"/>
                <w:szCs w:val="21"/>
              </w:rPr>
              <w:t>系统；</w:t>
            </w:r>
          </w:p>
          <w:p w14:paraId="3408EBB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p>
          <w:p w14:paraId="591C8AF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4"/>
                <w:sz w:val="21"/>
                <w:szCs w:val="21"/>
                <w:lang w:eastAsia="zh-CN"/>
              </w:rPr>
              <w:t>4.</w:t>
            </w:r>
            <w:r>
              <w:rPr>
                <w:rFonts w:hint="default" w:ascii="Times New Roman" w:hAnsi="Times New Roman" w:eastAsia="宋体" w:cs="Times New Roman"/>
                <w:b w:val="0"/>
                <w:bCs w:val="0"/>
                <w:spacing w:val="4"/>
                <w:sz w:val="21"/>
                <w:szCs w:val="21"/>
              </w:rPr>
              <w:t>液态</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4"/>
                <w:sz w:val="21"/>
                <w:szCs w:val="21"/>
              </w:rPr>
              <w:t>物料采用高位槽（罐）、桶泵等给料方</w:t>
            </w:r>
            <w:r>
              <w:rPr>
                <w:rFonts w:hint="default" w:ascii="Times New Roman" w:hAnsi="Times New Roman" w:eastAsia="宋体" w:cs="Times New Roman"/>
                <w:b w:val="0"/>
                <w:bCs w:val="0"/>
                <w:spacing w:val="9"/>
                <w:sz w:val="21"/>
                <w:szCs w:val="21"/>
              </w:rPr>
              <w:t>式密闭投加，进料时置换的废气应排至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废气</w:t>
            </w:r>
            <w:r>
              <w:rPr>
                <w:rFonts w:hint="default" w:ascii="Times New Roman" w:hAnsi="Times New Roman" w:eastAsia="宋体" w:cs="Times New Roman"/>
                <w:b w:val="0"/>
                <w:bCs w:val="0"/>
                <w:spacing w:val="7"/>
                <w:sz w:val="21"/>
                <w:szCs w:val="21"/>
              </w:rPr>
              <w:t>集处理系统或气相平衡系统；</w:t>
            </w:r>
          </w:p>
          <w:p w14:paraId="3C59AAA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0"/>
                <w:sz w:val="21"/>
                <w:szCs w:val="21"/>
                <w:lang w:eastAsia="zh-CN"/>
              </w:rPr>
              <w:t>5.</w:t>
            </w:r>
            <w:r>
              <w:rPr>
                <w:rFonts w:hint="default" w:ascii="Times New Roman" w:hAnsi="Times New Roman" w:eastAsia="宋体" w:cs="Times New Roman"/>
                <w:b w:val="0"/>
                <w:bCs w:val="0"/>
                <w:spacing w:val="10"/>
                <w:sz w:val="21"/>
                <w:szCs w:val="21"/>
              </w:rPr>
              <w:t>粉状、粒状物料采用气力输送方式或密闭固体投</w:t>
            </w:r>
            <w:r>
              <w:rPr>
                <w:rFonts w:hint="default" w:ascii="Times New Roman" w:hAnsi="Times New Roman" w:eastAsia="宋体" w:cs="Times New Roman"/>
                <w:b w:val="0"/>
                <w:bCs w:val="0"/>
                <w:spacing w:val="9"/>
                <w:sz w:val="21"/>
                <w:szCs w:val="21"/>
              </w:rPr>
              <w:t>料器等给料方式投加，无法密闭投加的，应建密闭</w:t>
            </w:r>
            <w:r>
              <w:rPr>
                <w:rFonts w:hint="default" w:ascii="Times New Roman" w:hAnsi="Times New Roman" w:eastAsia="宋体" w:cs="Times New Roman"/>
                <w:b w:val="0"/>
                <w:bCs w:val="0"/>
                <w:spacing w:val="7"/>
                <w:sz w:val="21"/>
                <w:szCs w:val="21"/>
              </w:rPr>
              <w:t>投料间或在密闭空间内操作。</w:t>
            </w:r>
          </w:p>
        </w:tc>
        <w:tc>
          <w:tcPr>
            <w:tcW w:w="2799" w:type="dxa"/>
            <w:vAlign w:val="center"/>
          </w:tcPr>
          <w:p w14:paraId="592297C6">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napToGrid w:val="0"/>
                <w:color w:val="000000"/>
                <w:spacing w:val="6"/>
                <w:kern w:val="0"/>
                <w:sz w:val="21"/>
                <w:szCs w:val="21"/>
                <w:lang w:val="en-US" w:eastAsia="zh-CN" w:bidi="ar-SA"/>
              </w:rPr>
              <w:t>1.</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1</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28DB79AC">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2</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1A301D98">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2"/>
                <w:sz w:val="21"/>
                <w:szCs w:val="21"/>
                <w:lang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eastAsia="宋体" w:cs="Times New Roman"/>
                <w:b w:val="0"/>
                <w:bCs w:val="0"/>
                <w:spacing w:val="2"/>
                <w:sz w:val="21"/>
                <w:szCs w:val="21"/>
              </w:rPr>
              <w:t>同A级第</w:t>
            </w:r>
            <w:r>
              <w:rPr>
                <w:rFonts w:hint="default" w:ascii="Times New Roman" w:hAnsi="Times New Roman" w:cs="Times New Roman"/>
                <w:b w:val="0"/>
                <w:bCs w:val="0"/>
                <w:spacing w:val="2"/>
                <w:sz w:val="21"/>
                <w:szCs w:val="21"/>
                <w:lang w:val="en-US" w:eastAsia="zh-CN"/>
              </w:rPr>
              <w:t>3</w:t>
            </w:r>
            <w:r>
              <w:rPr>
                <w:rFonts w:hint="default" w:ascii="Times New Roman" w:hAnsi="Times New Roman" w:eastAsia="宋体" w:cs="Times New Roman"/>
                <w:b w:val="0"/>
                <w:bCs w:val="0"/>
                <w:spacing w:val="2"/>
                <w:sz w:val="21"/>
                <w:szCs w:val="21"/>
              </w:rPr>
              <w:t>条要求</w:t>
            </w:r>
            <w:r>
              <w:rPr>
                <w:rFonts w:hint="default" w:ascii="Times New Roman" w:hAnsi="Times New Roman" w:cs="Times New Roman"/>
                <w:b w:val="0"/>
                <w:bCs w:val="0"/>
                <w:spacing w:val="2"/>
                <w:sz w:val="21"/>
                <w:szCs w:val="21"/>
                <w:lang w:eastAsia="zh-CN"/>
              </w:rPr>
              <w:t>；</w:t>
            </w:r>
          </w:p>
          <w:p w14:paraId="3CBB966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2"/>
                <w:sz w:val="21"/>
                <w:szCs w:val="21"/>
                <w:lang w:val="en-US" w:eastAsia="zh-CN"/>
              </w:rPr>
              <w:t>4.</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4</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5A0B24D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5.</w:t>
            </w:r>
            <w:r>
              <w:rPr>
                <w:rFonts w:hint="default" w:ascii="Times New Roman" w:hAnsi="Times New Roman" w:eastAsia="宋体" w:cs="Times New Roman"/>
                <w:b w:val="0"/>
                <w:bCs w:val="0"/>
                <w:spacing w:val="10"/>
                <w:sz w:val="21"/>
                <w:szCs w:val="21"/>
              </w:rPr>
              <w:t>粉状、粒状物料采用</w:t>
            </w:r>
            <w:r>
              <w:rPr>
                <w:rFonts w:hint="default" w:ascii="Times New Roman" w:hAnsi="Times New Roman" w:cs="Times New Roman"/>
                <w:b w:val="0"/>
                <w:bCs w:val="0"/>
                <w:spacing w:val="10"/>
                <w:sz w:val="21"/>
                <w:szCs w:val="21"/>
                <w:lang w:val="en-US" w:eastAsia="zh-CN"/>
              </w:rPr>
              <w:t>整体或局部</w:t>
            </w:r>
            <w:r>
              <w:rPr>
                <w:rFonts w:hint="default" w:ascii="Times New Roman" w:hAnsi="Times New Roman" w:eastAsia="宋体" w:cs="Times New Roman"/>
                <w:b w:val="0"/>
                <w:bCs w:val="0"/>
                <w:spacing w:val="9"/>
                <w:sz w:val="21"/>
                <w:szCs w:val="21"/>
              </w:rPr>
              <w:t>密闭投加</w:t>
            </w:r>
            <w:r>
              <w:rPr>
                <w:rFonts w:hint="default" w:ascii="Times New Roman" w:hAnsi="Times New Roman" w:cs="Times New Roman"/>
                <w:b w:val="0"/>
                <w:bCs w:val="0"/>
                <w:spacing w:val="9"/>
                <w:sz w:val="21"/>
                <w:szCs w:val="21"/>
                <w:lang w:val="en-US" w:eastAsia="zh-CN"/>
              </w:rPr>
              <w:t>方式</w:t>
            </w:r>
            <w:r>
              <w:rPr>
                <w:rFonts w:hint="default" w:ascii="Times New Roman" w:hAnsi="Times New Roman" w:cs="Times New Roman"/>
                <w:b w:val="0"/>
                <w:bCs w:val="0"/>
                <w:spacing w:val="6"/>
                <w:sz w:val="21"/>
                <w:szCs w:val="21"/>
                <w:lang w:val="en-US" w:eastAsia="zh-CN"/>
              </w:rPr>
              <w:t>。</w:t>
            </w:r>
          </w:p>
        </w:tc>
        <w:tc>
          <w:tcPr>
            <w:tcW w:w="1422" w:type="dxa"/>
            <w:vAlign w:val="center"/>
          </w:tcPr>
          <w:p w14:paraId="57F32650">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0572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1327" w:type="dxa"/>
            <w:vAlign w:val="center"/>
          </w:tcPr>
          <w:p w14:paraId="078E26E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泄漏检测与</w:t>
            </w:r>
          </w:p>
          <w:p w14:paraId="6190CEF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修复</w:t>
            </w:r>
          </w:p>
        </w:tc>
        <w:tc>
          <w:tcPr>
            <w:tcW w:w="4462" w:type="dxa"/>
            <w:vAlign w:val="center"/>
          </w:tcPr>
          <w:p w14:paraId="306CCD54">
            <w:pPr>
              <w:keepNext w:val="0"/>
              <w:keepLines w:val="0"/>
              <w:pageBreakBefore w:val="0"/>
              <w:widowControl/>
              <w:suppressLineNumbers w:val="0"/>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color w:val="000000"/>
                <w:kern w:val="0"/>
                <w:sz w:val="21"/>
                <w:szCs w:val="21"/>
                <w:lang w:val="en-US" w:eastAsia="zh-CN"/>
              </w:rPr>
              <w:t>按照《挥发性有机物无组织排放控制标准》（GB37822—2019）相关要求，开展泄漏检测与修复工作，建立LDAR软件平台</w:t>
            </w:r>
          </w:p>
        </w:tc>
        <w:tc>
          <w:tcPr>
            <w:tcW w:w="8954" w:type="dxa"/>
            <w:gridSpan w:val="3"/>
            <w:vAlign w:val="center"/>
          </w:tcPr>
          <w:p w14:paraId="7ADB912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按照《挥发性有机物无组织排放控制标准》（GB37822—2019）相关要求，开展泄漏检测与修复工作</w:t>
            </w:r>
          </w:p>
        </w:tc>
      </w:tr>
      <w:tr w14:paraId="024B9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1912001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工艺有机废气治理</w:t>
            </w:r>
          </w:p>
        </w:tc>
        <w:tc>
          <w:tcPr>
            <w:tcW w:w="4462" w:type="dxa"/>
            <w:vAlign w:val="center"/>
          </w:tcPr>
          <w:p w14:paraId="43E5B6B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1.</w:t>
            </w:r>
            <w:r>
              <w:rPr>
                <w:rFonts w:hint="default" w:ascii="Times New Roman" w:hAnsi="Times New Roman" w:eastAsia="宋体" w:cs="Times New Roman"/>
                <w:b w:val="0"/>
                <w:bCs w:val="0"/>
                <w:spacing w:val="5"/>
                <w:sz w:val="21"/>
                <w:szCs w:val="21"/>
              </w:rPr>
              <w:t>配料、投加/卸放、反应、分离、提取、精制</w:t>
            </w:r>
            <w:r>
              <w:rPr>
                <w:rFonts w:hint="default" w:ascii="Times New Roman" w:hAnsi="Times New Roman" w:eastAsia="宋体" w:cs="Times New Roman"/>
                <w:b w:val="0"/>
                <w:bCs w:val="0"/>
                <w:spacing w:val="5"/>
                <w:sz w:val="21"/>
                <w:szCs w:val="21"/>
                <w:lang w:eastAsia="zh-CN"/>
              </w:rPr>
              <w:t>、</w:t>
            </w:r>
            <w:r>
              <w:rPr>
                <w:rFonts w:hint="default" w:ascii="Times New Roman" w:hAnsi="Times New Roman" w:eastAsia="宋体" w:cs="Times New Roman"/>
                <w:b w:val="0"/>
                <w:bCs w:val="0"/>
                <w:spacing w:val="11"/>
                <w:sz w:val="21"/>
                <w:szCs w:val="21"/>
              </w:rPr>
              <w:t>结晶、干燥、溶剂回收等工艺有机废气全部密闭收集并引至有机废气治理设施，采用冷凝回</w:t>
            </w:r>
            <w:r>
              <w:rPr>
                <w:rFonts w:hint="default" w:ascii="Times New Roman" w:hAnsi="Times New Roman" w:eastAsia="宋体" w:cs="Times New Roman"/>
                <w:b w:val="0"/>
                <w:bCs w:val="0"/>
                <w:spacing w:val="5"/>
                <w:sz w:val="21"/>
                <w:szCs w:val="21"/>
              </w:rPr>
              <w:t>收+吸附、燃烧、吸附浓缩+燃烧、吸收+回收等</w:t>
            </w:r>
            <w:r>
              <w:rPr>
                <w:rFonts w:hint="default" w:ascii="Times New Roman" w:hAnsi="Times New Roman" w:eastAsia="宋体" w:cs="Times New Roman"/>
                <w:b w:val="0"/>
                <w:bCs w:val="0"/>
                <w:spacing w:val="9"/>
                <w:sz w:val="21"/>
                <w:szCs w:val="21"/>
              </w:rPr>
              <w:t>处理工艺，处理效率不低于90%（如处理效率</w:t>
            </w:r>
            <w:r>
              <w:rPr>
                <w:rFonts w:hint="default" w:ascii="Times New Roman" w:hAnsi="Times New Roman" w:eastAsia="宋体" w:cs="Times New Roman"/>
                <w:b w:val="0"/>
                <w:bCs w:val="0"/>
                <w:spacing w:val="11"/>
                <w:sz w:val="21"/>
                <w:szCs w:val="21"/>
              </w:rPr>
              <w:t>确实达不到的，生产车间或生产设备的无组织</w:t>
            </w:r>
            <w:r>
              <w:rPr>
                <w:rFonts w:hint="default" w:ascii="Times New Roman" w:hAnsi="Times New Roman" w:eastAsia="宋体" w:cs="Times New Roman"/>
                <w:b w:val="0"/>
                <w:bCs w:val="0"/>
                <w:spacing w:val="7"/>
                <w:sz w:val="21"/>
                <w:szCs w:val="21"/>
              </w:rPr>
              <w:t>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w:t>
            </w:r>
            <w:r>
              <w:rPr>
                <w:rFonts w:hint="default" w:ascii="Times New Roman" w:hAnsi="Times New Roman" w:eastAsia="宋体" w:cs="Times New Roman"/>
                <w:b w:val="0"/>
                <w:bCs w:val="0"/>
                <w:spacing w:val="6"/>
                <w:sz w:val="21"/>
                <w:szCs w:val="21"/>
              </w:rPr>
              <w:t>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6"/>
                <w:sz w:val="21"/>
                <w:szCs w:val="21"/>
              </w:rPr>
              <w:t>平均浓度低于2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6"/>
                <w:sz w:val="21"/>
                <w:szCs w:val="21"/>
              </w:rPr>
              <w:t>/m³</w:t>
            </w:r>
            <w:r>
              <w:rPr>
                <w:rFonts w:hint="eastAsia" w:ascii="Times New Roman" w:hAnsi="Times New Roman" w:cs="Times New Roman"/>
                <w:b w:val="0"/>
                <w:bCs w:val="0"/>
                <w:spacing w:val="6"/>
                <w:sz w:val="21"/>
                <w:szCs w:val="21"/>
                <w:lang w:eastAsia="zh-CN"/>
              </w:rPr>
              <w:t>）</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或送工</w:t>
            </w:r>
            <w:r>
              <w:rPr>
                <w:rFonts w:hint="default" w:ascii="Times New Roman" w:hAnsi="Times New Roman" w:eastAsia="宋体" w:cs="Times New Roman"/>
                <w:b w:val="0"/>
                <w:bCs w:val="0"/>
                <w:spacing w:val="8"/>
                <w:sz w:val="21"/>
                <w:szCs w:val="21"/>
              </w:rPr>
              <w:t>艺加热炉、锅炉、焚烧炉直接燃烧处理；</w:t>
            </w:r>
          </w:p>
          <w:p w14:paraId="63D0B0D6">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如因安全生产需要，存在无法取消的废气应急</w:t>
            </w:r>
            <w:r>
              <w:rPr>
                <w:rFonts w:hint="default" w:ascii="Times New Roman" w:hAnsi="Times New Roman" w:eastAsia="宋体" w:cs="Times New Roman"/>
                <w:b w:val="0"/>
                <w:bCs w:val="0"/>
                <w:spacing w:val="9"/>
                <w:sz w:val="21"/>
                <w:szCs w:val="21"/>
              </w:rPr>
              <w:t>旁路，企业应安装在线监控系统</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同时加装有</w:t>
            </w:r>
            <w:r>
              <w:rPr>
                <w:rFonts w:hint="default" w:ascii="Times New Roman" w:hAnsi="Times New Roman" w:eastAsia="宋体" w:cs="Times New Roman"/>
                <w:b w:val="0"/>
                <w:bCs w:val="0"/>
                <w:spacing w:val="6"/>
                <w:sz w:val="21"/>
                <w:szCs w:val="21"/>
              </w:rPr>
              <w:t>备用处置设施。</w:t>
            </w:r>
          </w:p>
        </w:tc>
        <w:tc>
          <w:tcPr>
            <w:tcW w:w="7532" w:type="dxa"/>
            <w:gridSpan w:val="2"/>
            <w:vAlign w:val="center"/>
          </w:tcPr>
          <w:p w14:paraId="46DEAC6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配料、投加/卸放、反应、分离、提取、精制、结</w:t>
            </w:r>
            <w:r>
              <w:rPr>
                <w:rFonts w:hint="default" w:ascii="Times New Roman" w:hAnsi="Times New Roman" w:eastAsia="宋体" w:cs="Times New Roman"/>
                <w:b w:val="0"/>
                <w:bCs w:val="0"/>
                <w:spacing w:val="9"/>
                <w:sz w:val="21"/>
                <w:szCs w:val="21"/>
              </w:rPr>
              <w:t>晶、干燥、溶剂回收等工艺有机废气全部收集并引至有机废气治理设施，采用冷凝+吸附回收、燃烧、吸附浓缩+燃烧、吸收+回收等处理工艺，处理效率不低于</w:t>
            </w:r>
            <w:r>
              <w:rPr>
                <w:rFonts w:hint="default" w:ascii="Times New Roman" w:hAnsi="Times New Roman" w:cs="Times New Roman"/>
                <w:b w:val="0"/>
                <w:bCs w:val="0"/>
                <w:spacing w:val="9"/>
                <w:sz w:val="21"/>
                <w:szCs w:val="21"/>
                <w:lang w:val="en-US" w:eastAsia="zh-CN"/>
              </w:rPr>
              <w:t>8</w:t>
            </w:r>
            <w:r>
              <w:rPr>
                <w:rFonts w:hint="default" w:ascii="Times New Roman" w:hAnsi="Times New Roman" w:eastAsia="宋体" w:cs="Times New Roman"/>
                <w:b w:val="0"/>
                <w:bCs w:val="0"/>
                <w:spacing w:val="9"/>
                <w:sz w:val="21"/>
                <w:szCs w:val="21"/>
              </w:rPr>
              <w:t>0%，或送工艺加热炉、锅炉、焚烧炉直接燃烧处理</w:t>
            </w:r>
            <w:r>
              <w:rPr>
                <w:rFonts w:hint="default" w:ascii="Times New Roman" w:hAnsi="Times New Roman" w:cs="Times New Roman"/>
                <w:b w:val="0"/>
                <w:bCs w:val="0"/>
                <w:spacing w:val="9"/>
                <w:sz w:val="21"/>
                <w:szCs w:val="21"/>
                <w:lang w:eastAsia="zh-CN"/>
              </w:rPr>
              <w:t>；</w:t>
            </w:r>
          </w:p>
          <w:p w14:paraId="5E463B7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与A级第2条要求相同。</w:t>
            </w:r>
          </w:p>
        </w:tc>
        <w:tc>
          <w:tcPr>
            <w:tcW w:w="1422" w:type="dxa"/>
            <w:vAlign w:val="center"/>
          </w:tcPr>
          <w:p w14:paraId="3CA4CF5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3CC53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restart"/>
            <w:vAlign w:val="center"/>
          </w:tcPr>
          <w:p w14:paraId="4FE85F0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挥发性有机</w:t>
            </w:r>
          </w:p>
          <w:p w14:paraId="00F067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液体储罐</w:t>
            </w:r>
          </w:p>
        </w:tc>
        <w:tc>
          <w:tcPr>
            <w:tcW w:w="11994" w:type="dxa"/>
            <w:gridSpan w:val="3"/>
            <w:tcBorders>
              <w:bottom w:val="single" w:color="auto" w:sz="4" w:space="0"/>
            </w:tcBorders>
            <w:vAlign w:val="center"/>
          </w:tcPr>
          <w:p w14:paraId="6D3A698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9"/>
                <w:sz w:val="21"/>
                <w:szCs w:val="21"/>
              </w:rPr>
              <w:t>对于储存物料的真实蒸气压a≥76.6kPa的有机液体储罐采用压力罐。</w:t>
            </w:r>
          </w:p>
        </w:tc>
        <w:tc>
          <w:tcPr>
            <w:tcW w:w="1422" w:type="dxa"/>
            <w:vMerge w:val="restart"/>
            <w:vAlign w:val="center"/>
          </w:tcPr>
          <w:p w14:paraId="26B642C0">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9"/>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A811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vAlign w:val="center"/>
          </w:tcPr>
          <w:p w14:paraId="2A386E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p>
        </w:tc>
        <w:tc>
          <w:tcPr>
            <w:tcW w:w="4462" w:type="dxa"/>
            <w:tcBorders>
              <w:top w:val="single" w:color="auto" w:sz="4" w:space="0"/>
              <w:bottom w:val="single" w:color="auto" w:sz="4" w:space="0"/>
            </w:tcBorders>
          </w:tcPr>
          <w:p w14:paraId="767488B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2"/>
                <w:sz w:val="21"/>
                <w:szCs w:val="21"/>
                <w:lang w:eastAsia="zh-CN"/>
              </w:rPr>
              <w:t>1.</w:t>
            </w:r>
            <w:r>
              <w:rPr>
                <w:rFonts w:hint="default" w:ascii="Times New Roman" w:hAnsi="Times New Roman" w:eastAsia="宋体" w:cs="Times New Roman"/>
                <w:b w:val="0"/>
                <w:bCs w:val="0"/>
                <w:spacing w:val="12"/>
                <w:sz w:val="21"/>
                <w:szCs w:val="21"/>
              </w:rPr>
              <w:t>对储存物料的真实蒸气</w:t>
            </w:r>
            <w:r>
              <w:rPr>
                <w:rFonts w:hint="default" w:ascii="Times New Roman" w:hAnsi="Times New Roman" w:cs="Times New Roman"/>
                <w:b w:val="0"/>
                <w:bCs w:val="0"/>
                <w:spacing w:val="12"/>
                <w:sz w:val="21"/>
                <w:szCs w:val="21"/>
                <w:lang w:val="en-US" w:eastAsia="zh-CN"/>
              </w:rPr>
              <w:t>压</w:t>
            </w:r>
            <w:r>
              <w:rPr>
                <w:rFonts w:hint="default" w:ascii="Times New Roman" w:hAnsi="Times New Roman" w:eastAsia="宋体" w:cs="Times New Roman"/>
                <w:b w:val="0"/>
                <w:bCs w:val="0"/>
                <w:spacing w:val="12"/>
                <w:sz w:val="21"/>
                <w:szCs w:val="21"/>
              </w:rPr>
              <w:t>≥10.3 kPa 但&lt;76.6kPa 且储罐容积≥20</w:t>
            </w:r>
            <w:r>
              <w:rPr>
                <w:rFonts w:hint="default" w:ascii="Times New Roman" w:hAnsi="Times New Roman" w:cs="Times New Roman"/>
                <w:b w:val="0"/>
                <w:bCs w:val="0"/>
                <w:spacing w:val="12"/>
                <w:sz w:val="21"/>
                <w:szCs w:val="21"/>
                <w:lang w:val="en-US" w:eastAsia="zh-CN"/>
              </w:rPr>
              <w:t>m³</w:t>
            </w:r>
            <w:r>
              <w:rPr>
                <w:rFonts w:hint="default" w:ascii="Times New Roman" w:hAnsi="Times New Roman" w:eastAsia="宋体" w:cs="Times New Roman"/>
                <w:b w:val="0"/>
                <w:bCs w:val="0"/>
                <w:spacing w:val="12"/>
                <w:sz w:val="21"/>
                <w:szCs w:val="21"/>
              </w:rPr>
              <w:t>的挥发性有机液体储罐，以及储存真实蒸气</w:t>
            </w:r>
            <w:r>
              <w:rPr>
                <w:rFonts w:hint="default" w:ascii="Times New Roman" w:hAnsi="Times New Roman" w:cs="Times New Roman"/>
                <w:b w:val="0"/>
                <w:bCs w:val="0"/>
                <w:spacing w:val="12"/>
                <w:sz w:val="21"/>
                <w:szCs w:val="21"/>
                <w:lang w:val="en-US" w:eastAsia="zh-CN"/>
              </w:rPr>
              <w:t>压</w:t>
            </w:r>
            <w:r>
              <w:rPr>
                <w:rFonts w:hint="default" w:ascii="Times New Roman" w:hAnsi="Times New Roman" w:eastAsia="宋体" w:cs="Times New Roman"/>
                <w:b w:val="0"/>
                <w:bCs w:val="0"/>
                <w:spacing w:val="12"/>
                <w:sz w:val="21"/>
                <w:szCs w:val="21"/>
              </w:rPr>
              <w:t>≥0.7kPa但&lt;10.3kPa且储罐容积≥30</w:t>
            </w:r>
            <w:r>
              <w:rPr>
                <w:rFonts w:hint="default" w:ascii="Times New Roman" w:hAnsi="Times New Roman" w:cs="Times New Roman"/>
                <w:b w:val="0"/>
                <w:bCs w:val="0"/>
                <w:spacing w:val="12"/>
                <w:sz w:val="21"/>
                <w:szCs w:val="21"/>
                <w:lang w:val="en-US" w:eastAsia="zh-CN"/>
              </w:rPr>
              <w:t>m³</w:t>
            </w:r>
            <w:r>
              <w:rPr>
                <w:rFonts w:hint="default" w:ascii="Times New Roman" w:hAnsi="Times New Roman" w:eastAsia="宋体" w:cs="Times New Roman"/>
                <w:b w:val="0"/>
                <w:bCs w:val="0"/>
                <w:spacing w:val="12"/>
                <w:sz w:val="21"/>
                <w:szCs w:val="21"/>
              </w:rPr>
              <w:t>的挥发性有机液体储罐</w:t>
            </w:r>
            <w:r>
              <w:rPr>
                <w:rFonts w:hint="default" w:ascii="Times New Roman" w:hAnsi="Times New Roman" w:cs="Times New Roman"/>
                <w:b w:val="0"/>
                <w:bCs w:val="0"/>
                <w:spacing w:val="12"/>
                <w:sz w:val="21"/>
                <w:szCs w:val="21"/>
                <w:lang w:eastAsia="zh-CN"/>
              </w:rPr>
              <w:t>，</w:t>
            </w:r>
            <w:r>
              <w:rPr>
                <w:rFonts w:hint="default" w:ascii="Times New Roman" w:hAnsi="Times New Roman" w:eastAsia="宋体" w:cs="Times New Roman"/>
                <w:b w:val="0"/>
                <w:bCs w:val="0"/>
                <w:spacing w:val="12"/>
                <w:sz w:val="21"/>
                <w:szCs w:val="21"/>
              </w:rPr>
              <w:t>采用高级密封方式的浮顶罐，真实蒸气压≥27.6</w:t>
            </w:r>
            <w:r>
              <w:rPr>
                <w:rFonts w:hint="default" w:ascii="Times New Roman" w:hAnsi="Times New Roman" w:eastAsia="宋体" w:cs="Times New Roman"/>
                <w:b w:val="0"/>
                <w:bCs w:val="0"/>
                <w:sz w:val="21"/>
                <w:szCs w:val="21"/>
              </w:rPr>
              <w:t>kPa</w:t>
            </w:r>
            <w:r>
              <w:rPr>
                <w:rFonts w:hint="default" w:ascii="Times New Roman" w:hAnsi="Times New Roman" w:eastAsia="宋体" w:cs="Times New Roman"/>
                <w:b w:val="0"/>
                <w:bCs w:val="0"/>
                <w:spacing w:val="12"/>
                <w:sz w:val="21"/>
                <w:szCs w:val="21"/>
              </w:rPr>
              <w:t>但&lt;76.6</w:t>
            </w:r>
            <w:r>
              <w:rPr>
                <w:rFonts w:hint="default" w:ascii="Times New Roman" w:hAnsi="Times New Roman" w:eastAsia="宋体" w:cs="Times New Roman"/>
                <w:b w:val="0"/>
                <w:bCs w:val="0"/>
                <w:sz w:val="21"/>
                <w:szCs w:val="21"/>
              </w:rPr>
              <w:t>kPa</w:t>
            </w:r>
            <w:r>
              <w:rPr>
                <w:rFonts w:hint="default" w:ascii="Times New Roman" w:hAnsi="Times New Roman" w:eastAsia="宋体" w:cs="Times New Roman"/>
                <w:b w:val="0"/>
                <w:bCs w:val="0"/>
                <w:spacing w:val="12"/>
                <w:sz w:val="21"/>
                <w:szCs w:val="21"/>
              </w:rPr>
              <w:t>的有机液体储罐，采用高级密封方式的浮</w:t>
            </w:r>
            <w:r>
              <w:rPr>
                <w:rFonts w:hint="default" w:ascii="Times New Roman" w:hAnsi="Times New Roman" w:eastAsia="宋体" w:cs="Times New Roman"/>
                <w:b w:val="0"/>
                <w:bCs w:val="0"/>
                <w:spacing w:val="11"/>
                <w:sz w:val="21"/>
                <w:szCs w:val="21"/>
              </w:rPr>
              <w:t>顶罐，或采用固定顶罐安装密闭排气系统至有</w:t>
            </w:r>
            <w:r>
              <w:rPr>
                <w:rFonts w:hint="default" w:ascii="Times New Roman" w:hAnsi="Times New Roman" w:eastAsia="宋体" w:cs="Times New Roman"/>
                <w:b w:val="0"/>
                <w:bCs w:val="0"/>
                <w:spacing w:val="8"/>
                <w:sz w:val="21"/>
                <w:szCs w:val="21"/>
              </w:rPr>
              <w:t>机废气治理设施，或采用气相平衡系统；</w:t>
            </w:r>
          </w:p>
          <w:p w14:paraId="1174C6F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符合第1条的固定顶罐排气采用燃烧工艺（包</w:t>
            </w:r>
            <w:r>
              <w:rPr>
                <w:rFonts w:hint="default" w:ascii="Times New Roman" w:hAnsi="Times New Roman" w:eastAsia="宋体" w:cs="Times New Roman"/>
                <w:b w:val="0"/>
                <w:bCs w:val="0"/>
                <w:spacing w:val="11"/>
                <w:sz w:val="21"/>
                <w:szCs w:val="21"/>
              </w:rPr>
              <w:t>括直接燃烧、催化燃烧和蓄热燃烧）进行最终处理，或送工艺加热炉、锅炉、焚烧炉等燃烧</w:t>
            </w:r>
            <w:r>
              <w:rPr>
                <w:rFonts w:hint="default" w:ascii="Times New Roman" w:hAnsi="Times New Roman" w:eastAsia="宋体" w:cs="Times New Roman"/>
                <w:b w:val="0"/>
                <w:bCs w:val="0"/>
                <w:spacing w:val="3"/>
                <w:sz w:val="21"/>
                <w:szCs w:val="21"/>
              </w:rPr>
              <w:t>处理；</w:t>
            </w:r>
          </w:p>
          <w:p w14:paraId="3C22D77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13"/>
                <w:sz w:val="21"/>
                <w:szCs w:val="21"/>
                <w:lang w:eastAsia="zh-CN"/>
              </w:rPr>
              <w:t>3.</w:t>
            </w:r>
            <w:r>
              <w:rPr>
                <w:rFonts w:hint="default" w:ascii="Times New Roman" w:hAnsi="Times New Roman" w:eastAsia="宋体" w:cs="Times New Roman"/>
                <w:b w:val="0"/>
                <w:bCs w:val="0"/>
                <w:spacing w:val="13"/>
                <w:sz w:val="21"/>
                <w:szCs w:val="21"/>
              </w:rPr>
              <w:t>对于储罐废气和工艺废气共用一套末端</w:t>
            </w:r>
            <w:r>
              <w:rPr>
                <w:rFonts w:hint="default" w:ascii="Times New Roman" w:hAnsi="Times New Roman" w:eastAsia="宋体" w:cs="Times New Roman"/>
                <w:b w:val="0"/>
                <w:bCs w:val="0"/>
                <w:spacing w:val="12"/>
                <w:sz w:val="21"/>
                <w:szCs w:val="21"/>
              </w:rPr>
              <w:t>设施</w:t>
            </w:r>
            <w:r>
              <w:rPr>
                <w:rFonts w:hint="default" w:ascii="Times New Roman" w:hAnsi="Times New Roman" w:eastAsia="宋体" w:cs="Times New Roman"/>
                <w:b w:val="0"/>
                <w:bCs w:val="0"/>
                <w:spacing w:val="11"/>
                <w:sz w:val="21"/>
                <w:szCs w:val="21"/>
              </w:rPr>
              <w:t>时，在生产工序限停产时，末端设施要持续运</w:t>
            </w:r>
            <w:r>
              <w:rPr>
                <w:rFonts w:hint="default" w:ascii="Times New Roman" w:hAnsi="Times New Roman" w:eastAsia="宋体" w:cs="Times New Roman"/>
                <w:b w:val="0"/>
                <w:bCs w:val="0"/>
                <w:spacing w:val="-2"/>
                <w:sz w:val="21"/>
                <w:szCs w:val="21"/>
              </w:rPr>
              <w:t>行。</w:t>
            </w:r>
          </w:p>
        </w:tc>
        <w:tc>
          <w:tcPr>
            <w:tcW w:w="4733" w:type="dxa"/>
            <w:tcBorders>
              <w:top w:val="single" w:color="auto" w:sz="4" w:space="0"/>
              <w:bottom w:val="single" w:color="auto" w:sz="4" w:space="0"/>
              <w:right w:val="single" w:color="auto" w:sz="4" w:space="0"/>
            </w:tcBorders>
            <w:vAlign w:val="center"/>
          </w:tcPr>
          <w:p w14:paraId="2BD0F93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1.</w:t>
            </w:r>
            <w:r>
              <w:rPr>
                <w:rFonts w:hint="default" w:ascii="Times New Roman" w:hAnsi="Times New Roman" w:eastAsia="宋体" w:cs="Times New Roman"/>
                <w:b w:val="0"/>
                <w:bCs w:val="0"/>
                <w:sz w:val="21"/>
                <w:szCs w:val="21"/>
              </w:rPr>
              <w:t>同A级第1条要求；</w:t>
            </w:r>
          </w:p>
          <w:p w14:paraId="4831D42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符合第1条的固定顶罐排气采用吸收、吸附、冷凝、膜分离等两级及以上组合处理工艺</w:t>
            </w:r>
            <w:r>
              <w:rPr>
                <w:rFonts w:hint="default" w:ascii="Times New Roman" w:hAnsi="Times New Roman" w:eastAsia="宋体" w:cs="Times New Roman"/>
                <w:b w:val="0"/>
                <w:bCs w:val="0"/>
                <w:spacing w:val="11"/>
                <w:sz w:val="21"/>
                <w:szCs w:val="21"/>
              </w:rPr>
              <w:t>或送工艺</w:t>
            </w:r>
            <w:r>
              <w:rPr>
                <w:rFonts w:hint="default" w:ascii="Times New Roman" w:hAnsi="Times New Roman" w:cs="Times New Roman"/>
                <w:b w:val="0"/>
                <w:bCs w:val="0"/>
                <w:spacing w:val="11"/>
                <w:sz w:val="21"/>
                <w:szCs w:val="21"/>
                <w:lang w:val="en-US" w:eastAsia="zh-CN"/>
              </w:rPr>
              <w:t>废气处理设备</w:t>
            </w:r>
            <w:r>
              <w:rPr>
                <w:rFonts w:hint="default" w:ascii="Times New Roman" w:hAnsi="Times New Roman" w:cs="Times New Roman"/>
                <w:b w:val="0"/>
                <w:bCs w:val="0"/>
                <w:spacing w:val="9"/>
                <w:sz w:val="21"/>
                <w:szCs w:val="21"/>
                <w:lang w:eastAsia="zh-CN"/>
              </w:rPr>
              <w:t>，</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废气处理效率不低于80%，确实达不到</w:t>
            </w:r>
            <w:r>
              <w:rPr>
                <w:rFonts w:hint="default" w:ascii="Times New Roman" w:hAnsi="Times New Roman" w:eastAsia="宋体" w:cs="Times New Roman"/>
                <w:b w:val="0"/>
                <w:bCs w:val="0"/>
                <w:spacing w:val="19"/>
                <w:sz w:val="21"/>
                <w:szCs w:val="21"/>
              </w:rPr>
              <w:t>的</w:t>
            </w:r>
            <w:r>
              <w:rPr>
                <w:rFonts w:hint="default" w:ascii="Times New Roman" w:hAnsi="Times New Roman" w:eastAsia="宋体" w:cs="Times New Roman"/>
                <w:b w:val="0"/>
                <w:bCs w:val="0"/>
                <w:spacing w:val="19"/>
                <w:sz w:val="21"/>
                <w:szCs w:val="21"/>
                <w:lang w:eastAsia="zh-CN"/>
              </w:rPr>
              <w:t>，</w:t>
            </w:r>
            <w:r>
              <w:rPr>
                <w:rFonts w:hint="default" w:ascii="Times New Roman" w:hAnsi="Times New Roman" w:eastAsia="宋体" w:cs="Times New Roman"/>
                <w:b w:val="0"/>
                <w:bCs w:val="0"/>
                <w:spacing w:val="19"/>
                <w:sz w:val="21"/>
                <w:szCs w:val="21"/>
              </w:rPr>
              <w:t>生产车间或生产设备的无组织排放监控点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7"/>
                <w:sz w:val="21"/>
                <w:szCs w:val="21"/>
              </w:rPr>
              <w:t>平</w:t>
            </w:r>
            <w:r>
              <w:rPr>
                <w:rFonts w:hint="default" w:ascii="Times New Roman" w:hAnsi="Times New Roman" w:eastAsia="宋体" w:cs="Times New Roman"/>
                <w:b w:val="0"/>
                <w:bCs w:val="0"/>
                <w:spacing w:val="6"/>
                <w:sz w:val="21"/>
                <w:szCs w:val="21"/>
              </w:rPr>
              <w:t>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9"/>
                <w:sz w:val="21"/>
                <w:szCs w:val="21"/>
                <w:lang w:eastAsia="zh-CN"/>
              </w:rPr>
              <w:t>；</w:t>
            </w:r>
          </w:p>
          <w:p w14:paraId="3EF87B7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p>
        </w:tc>
        <w:tc>
          <w:tcPr>
            <w:tcW w:w="2799" w:type="dxa"/>
            <w:tcBorders>
              <w:top w:val="single" w:color="auto" w:sz="4" w:space="0"/>
              <w:left w:val="single" w:color="auto" w:sz="4" w:space="0"/>
            </w:tcBorders>
            <w:vAlign w:val="center"/>
          </w:tcPr>
          <w:p w14:paraId="158DFDD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同A级第1条要求；</w:t>
            </w:r>
          </w:p>
          <w:p w14:paraId="6E2B5B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符合第1条的固定顶罐排气采用吸收、吸附、冷凝、膜分离等两级及以上组合处理工艺</w:t>
            </w:r>
            <w:r>
              <w:rPr>
                <w:rFonts w:hint="default" w:ascii="Times New Roman" w:hAnsi="Times New Roman" w:eastAsia="宋体" w:cs="Times New Roman"/>
                <w:b w:val="0"/>
                <w:bCs w:val="0"/>
                <w:spacing w:val="11"/>
                <w:sz w:val="21"/>
                <w:szCs w:val="21"/>
              </w:rPr>
              <w:t>或送工艺</w:t>
            </w:r>
            <w:r>
              <w:rPr>
                <w:rFonts w:hint="default" w:ascii="Times New Roman" w:hAnsi="Times New Roman" w:cs="Times New Roman"/>
                <w:b w:val="0"/>
                <w:bCs w:val="0"/>
                <w:spacing w:val="11"/>
                <w:sz w:val="21"/>
                <w:szCs w:val="21"/>
                <w:lang w:val="en-US" w:eastAsia="zh-CN"/>
              </w:rPr>
              <w:t>废气处理设备</w:t>
            </w:r>
          </w:p>
          <w:p w14:paraId="42C281E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eastAsia" w:ascii="Times New Roman" w:hAnsi="Times New Roman" w:eastAsia="宋体" w:cs="Times New Roman"/>
                <w:b w:val="0"/>
                <w:bCs w:val="0"/>
                <w:spacing w:val="5"/>
                <w:sz w:val="21"/>
                <w:szCs w:val="21"/>
                <w:lang w:eastAsia="zh-CN"/>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r>
              <w:rPr>
                <w:rFonts w:hint="eastAsia" w:ascii="Times New Roman" w:hAnsi="Times New Roman" w:cs="Times New Roman"/>
                <w:b w:val="0"/>
                <w:bCs w:val="0"/>
                <w:spacing w:val="2"/>
                <w:sz w:val="21"/>
                <w:szCs w:val="21"/>
                <w:lang w:eastAsia="zh-CN"/>
              </w:rPr>
              <w:t>。</w:t>
            </w:r>
          </w:p>
        </w:tc>
        <w:tc>
          <w:tcPr>
            <w:tcW w:w="1422" w:type="dxa"/>
            <w:vMerge w:val="continue"/>
            <w:vAlign w:val="center"/>
          </w:tcPr>
          <w:p w14:paraId="658DFF2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2"/>
                <w:sz w:val="21"/>
                <w:szCs w:val="21"/>
              </w:rPr>
            </w:pPr>
          </w:p>
        </w:tc>
      </w:tr>
      <w:tr w14:paraId="5A596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50709DB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挥发性有机</w:t>
            </w:r>
          </w:p>
          <w:p w14:paraId="1FBDE7B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pacing w:val="-4"/>
                <w:sz w:val="21"/>
                <w:szCs w:val="21"/>
              </w:rPr>
              <w:t>液体装载</w:t>
            </w:r>
          </w:p>
        </w:tc>
        <w:tc>
          <w:tcPr>
            <w:tcW w:w="4462" w:type="dxa"/>
            <w:tcBorders>
              <w:top w:val="single" w:color="auto" w:sz="4" w:space="0"/>
              <w:bottom w:val="single" w:color="auto" w:sz="4" w:space="0"/>
              <w:right w:val="single" w:color="auto" w:sz="4" w:space="0"/>
            </w:tcBorders>
            <w:shd w:val="clear" w:color="auto" w:fill="auto"/>
          </w:tcPr>
          <w:p w14:paraId="7D6773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rPr>
            </w:pPr>
            <w:r>
              <w:rPr>
                <w:rFonts w:hint="eastAsia" w:ascii="Times New Roman" w:hAnsi="Times New Roman" w:cs="Times New Roman"/>
                <w:color w:val="000000"/>
                <w:kern w:val="0"/>
                <w:sz w:val="21"/>
                <w:szCs w:val="21"/>
                <w:lang w:val="en-US" w:eastAsia="zh-CN"/>
              </w:rPr>
              <w:t>1.</w:t>
            </w:r>
            <w:r>
              <w:rPr>
                <w:rFonts w:hint="default" w:ascii="Times New Roman" w:hAnsi="Times New Roman" w:eastAsia="宋体" w:cs="Times New Roman"/>
                <w:b w:val="0"/>
                <w:bCs w:val="0"/>
                <w:spacing w:val="11"/>
                <w:sz w:val="21"/>
                <w:szCs w:val="21"/>
                <w:lang w:val="en-US" w:eastAsia="zh-CN"/>
              </w:rPr>
              <w:t>挥发性有机液体应采用底部装载方式；若采用顶部浸没式装载，出料管口距离槽（罐）底部高度应小于200mm；</w:t>
            </w:r>
          </w:p>
          <w:p w14:paraId="17A30E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，以及装载物料真实蒸气压≥5.2kPa但&lt;27.6kPa且单一装载设施的年装载量≥2500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的，装载过程排放的废气应收集处理并满足相关行业排放标准或处理效率≥90%；或排放废气连接至气相平衡系统；</w:t>
            </w:r>
          </w:p>
          <w:p w14:paraId="790F2A5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符合第2条要求的，装载作业排气采用</w:t>
            </w:r>
            <w:r>
              <w:rPr>
                <w:rFonts w:hint="default" w:ascii="Times New Roman" w:hAnsi="Times New Roman" w:eastAsia="宋体" w:cs="Times New Roman"/>
                <w:b w:val="0"/>
                <w:bCs w:val="0"/>
                <w:spacing w:val="5"/>
                <w:sz w:val="21"/>
                <w:szCs w:val="21"/>
              </w:rPr>
              <w:t>燃烧工艺（包</w:t>
            </w:r>
            <w:r>
              <w:rPr>
                <w:rFonts w:hint="default" w:ascii="Times New Roman" w:hAnsi="Times New Roman" w:eastAsia="宋体" w:cs="Times New Roman"/>
                <w:b w:val="0"/>
                <w:bCs w:val="0"/>
                <w:spacing w:val="11"/>
                <w:sz w:val="21"/>
                <w:szCs w:val="21"/>
              </w:rPr>
              <w:t>括直接燃烧、催化燃烧和蓄热燃烧）进行最终处理，或送工艺加热炉、锅炉、焚烧炉等燃烧</w:t>
            </w:r>
            <w:r>
              <w:rPr>
                <w:rFonts w:hint="default" w:ascii="Times New Roman" w:hAnsi="Times New Roman" w:eastAsia="宋体" w:cs="Times New Roman"/>
                <w:b w:val="0"/>
                <w:bCs w:val="0"/>
                <w:spacing w:val="3"/>
                <w:sz w:val="21"/>
                <w:szCs w:val="21"/>
              </w:rPr>
              <w:t>处理</w:t>
            </w:r>
          </w:p>
        </w:tc>
        <w:tc>
          <w:tcPr>
            <w:tcW w:w="4733" w:type="dxa"/>
            <w:tcBorders>
              <w:top w:val="single" w:color="auto" w:sz="4" w:space="0"/>
              <w:bottom w:val="single" w:color="auto" w:sz="4" w:space="0"/>
              <w:right w:val="single" w:color="auto" w:sz="4" w:space="0"/>
            </w:tcBorders>
            <w:shd w:val="clear" w:color="auto" w:fill="auto"/>
          </w:tcPr>
          <w:p w14:paraId="1B93AFB9">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1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同 A  级要求</w:t>
            </w:r>
          </w:p>
          <w:p w14:paraId="1DEDE4A2">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2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的，装载过程排放的废气应收集处理并满足相关行业排放标准或处理效率≥</w:t>
            </w:r>
            <w:r>
              <w:rPr>
                <w:rFonts w:hint="default" w:ascii="Times New Roman" w:hAnsi="Times New Roman" w:cs="Times New Roman"/>
                <w:b w:val="0"/>
                <w:bCs w:val="0"/>
                <w:spacing w:val="11"/>
                <w:sz w:val="21"/>
                <w:szCs w:val="21"/>
                <w:lang w:val="en-US" w:eastAsia="zh-CN"/>
              </w:rPr>
              <w:t>80</w:t>
            </w:r>
            <w:r>
              <w:rPr>
                <w:rFonts w:hint="default" w:ascii="Times New Roman" w:hAnsi="Times New Roman" w:eastAsia="宋体" w:cs="Times New Roman"/>
                <w:b w:val="0"/>
                <w:bCs w:val="0"/>
                <w:spacing w:val="11"/>
                <w:sz w:val="21"/>
                <w:szCs w:val="21"/>
                <w:lang w:val="en-US" w:eastAsia="zh-CN"/>
              </w:rPr>
              <w:t>%；或排放废气连接至气相平衡系统</w:t>
            </w:r>
          </w:p>
          <w:p w14:paraId="714C83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pacing w:val="-2"/>
                <w:sz w:val="21"/>
                <w:szCs w:val="21"/>
              </w:rPr>
              <w:t xml:space="preserve">3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符合第 2 条要求的，装载作业 排气采用吸收、吸附、冷凝、膜 分离等</w:t>
            </w:r>
            <w:r>
              <w:rPr>
                <w:rFonts w:hint="default" w:ascii="Times New Roman" w:hAnsi="Times New Roman" w:eastAsia="宋体" w:cs="Times New Roman"/>
                <w:b w:val="0"/>
                <w:bCs w:val="0"/>
                <w:spacing w:val="9"/>
                <w:sz w:val="21"/>
                <w:szCs w:val="21"/>
              </w:rPr>
              <w:t>两级及以上组合</w:t>
            </w:r>
            <w:r>
              <w:rPr>
                <w:rFonts w:hint="default" w:ascii="Times New Roman" w:hAnsi="Times New Roman" w:eastAsia="宋体" w:cs="Times New Roman"/>
                <w:b w:val="0"/>
                <w:bCs w:val="0"/>
                <w:spacing w:val="-2"/>
                <w:sz w:val="21"/>
                <w:szCs w:val="21"/>
              </w:rPr>
              <w:t>处理或引至 工艺有机废气治理设施处理</w:t>
            </w:r>
            <w:r>
              <w:rPr>
                <w:rFonts w:hint="default" w:ascii="Times New Roman" w:hAnsi="Times New Roman" w:cs="Times New Roman"/>
                <w:b w:val="0"/>
                <w:bCs w:val="0"/>
                <w:spacing w:val="-2"/>
                <w:sz w:val="21"/>
                <w:szCs w:val="21"/>
                <w:lang w:eastAsia="zh-CN"/>
              </w:rPr>
              <w:t>。</w:t>
            </w:r>
          </w:p>
        </w:tc>
        <w:tc>
          <w:tcPr>
            <w:tcW w:w="2799" w:type="dxa"/>
            <w:tcBorders>
              <w:left w:val="single" w:color="auto" w:sz="4" w:space="0"/>
            </w:tcBorders>
            <w:shd w:val="clear" w:color="auto" w:fill="auto"/>
            <w:vAlign w:val="center"/>
          </w:tcPr>
          <w:p w14:paraId="60E3EFD3">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1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同 A  级要求</w:t>
            </w:r>
          </w:p>
          <w:p w14:paraId="356F5342">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2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的，装载过程排放的废气应收集处理并满足相关行业排放标准；或排放废气连接至气相平衡系统</w:t>
            </w:r>
          </w:p>
          <w:p w14:paraId="2617A328">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pacing w:val="-2"/>
                <w:sz w:val="21"/>
                <w:szCs w:val="21"/>
              </w:rPr>
              <w:t xml:space="preserve">3 </w:t>
            </w:r>
            <w:r>
              <w:rPr>
                <w:rFonts w:hint="eastAsia" w:ascii="Times New Roman" w:hAnsi="Times New Roman" w:cs="Times New Roman"/>
                <w:b w:val="0"/>
                <w:bCs w:val="0"/>
                <w:spacing w:val="-2"/>
                <w:sz w:val="21"/>
                <w:szCs w:val="21"/>
                <w:lang w:val="en-US" w:eastAsia="zh-CN"/>
              </w:rPr>
              <w:t>.</w:t>
            </w:r>
            <w:r>
              <w:rPr>
                <w:rFonts w:hint="default" w:ascii="Times New Roman" w:hAnsi="Times New Roman" w:cs="Times New Roman"/>
                <w:b w:val="0"/>
                <w:bCs w:val="0"/>
                <w:spacing w:val="-2"/>
                <w:sz w:val="21"/>
                <w:szCs w:val="21"/>
                <w:lang w:val="en-US" w:eastAsia="zh-CN"/>
              </w:rPr>
              <w:t xml:space="preserve">同B级第3条要求   </w:t>
            </w:r>
          </w:p>
        </w:tc>
        <w:tc>
          <w:tcPr>
            <w:tcW w:w="1422" w:type="dxa"/>
            <w:tcBorders>
              <w:left w:val="single" w:color="auto" w:sz="4" w:space="0"/>
            </w:tcBorders>
            <w:shd w:val="clear" w:color="auto" w:fill="auto"/>
            <w:vAlign w:val="center"/>
          </w:tcPr>
          <w:p w14:paraId="39A221E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0A271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36EE713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污水收集和处理</w:t>
            </w:r>
          </w:p>
        </w:tc>
        <w:tc>
          <w:tcPr>
            <w:tcW w:w="4462" w:type="dxa"/>
            <w:tcBorders>
              <w:top w:val="single" w:color="auto" w:sz="4" w:space="0"/>
              <w:bottom w:val="single" w:color="auto" w:sz="4" w:space="0"/>
            </w:tcBorders>
            <w:shd w:val="clear" w:color="auto" w:fill="auto"/>
          </w:tcPr>
          <w:p w14:paraId="6C278D1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cs="Times New Roman"/>
                <w:b w:val="0"/>
                <w:bCs w:val="0"/>
                <w:spacing w:val="11"/>
                <w:sz w:val="21"/>
                <w:szCs w:val="21"/>
                <w:lang w:val="en-US" w:eastAsia="zh-CN"/>
              </w:rPr>
              <w:t xml:space="preserve">含 VOCs </w:t>
            </w:r>
            <w:r>
              <w:rPr>
                <w:rFonts w:hint="default" w:ascii="Times New Roman" w:hAnsi="Times New Roman" w:eastAsia="宋体" w:cs="Times New Roman"/>
                <w:b w:val="0"/>
                <w:bCs w:val="0"/>
                <w:spacing w:val="11"/>
                <w:sz w:val="21"/>
                <w:szCs w:val="21"/>
                <w:lang w:val="en-US" w:eastAsia="zh-CN"/>
              </w:rPr>
              <w:t>工艺废水采用密闭管道输送，废水集输系统的接入口和排出口采取与环境空气隔离的措施；</w:t>
            </w:r>
          </w:p>
          <w:p w14:paraId="332106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废水集输、储存、处理设施加盖密闭，并密闭排气至有机废气治理设施；</w:t>
            </w:r>
          </w:p>
          <w:p w14:paraId="06FE8CC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en-US"/>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污水处理站废气采用焚烧法或吸收、氧化、生物法等组合工艺进行处理</w:t>
            </w:r>
            <w:r>
              <w:rPr>
                <w:rFonts w:hint="default" w:ascii="Times New Roman" w:hAnsi="Times New Roman" w:cs="Times New Roman"/>
                <w:b w:val="0"/>
                <w:bCs w:val="0"/>
                <w:spacing w:val="11"/>
                <w:sz w:val="21"/>
                <w:szCs w:val="21"/>
                <w:lang w:val="en-US" w:eastAsia="zh-CN"/>
              </w:rPr>
              <w:t>。</w:t>
            </w:r>
          </w:p>
        </w:tc>
        <w:tc>
          <w:tcPr>
            <w:tcW w:w="4733" w:type="dxa"/>
            <w:tcBorders>
              <w:top w:val="single" w:color="auto" w:sz="4" w:space="0"/>
              <w:bottom w:val="single" w:color="auto" w:sz="4" w:space="0"/>
              <w:right w:val="single" w:color="auto" w:sz="4" w:space="0"/>
            </w:tcBorders>
            <w:shd w:val="clear" w:color="auto" w:fill="auto"/>
          </w:tcPr>
          <w:p w14:paraId="1FD05F5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eastAsia="宋体" w:cs="Times New Roman"/>
                <w:b w:val="0"/>
                <w:bCs w:val="0"/>
                <w:spacing w:val="11"/>
                <w:sz w:val="21"/>
                <w:szCs w:val="21"/>
                <w:lang w:val="en-US" w:eastAsia="zh-CN"/>
              </w:rPr>
              <w:t>同A级</w:t>
            </w:r>
            <w:r>
              <w:rPr>
                <w:rFonts w:hint="default" w:ascii="Times New Roman" w:hAnsi="Times New Roman" w:eastAsia="宋体" w:cs="Times New Roman"/>
                <w:b w:val="0"/>
                <w:bCs w:val="0"/>
                <w:spacing w:val="9"/>
                <w:sz w:val="21"/>
                <w:szCs w:val="21"/>
              </w:rPr>
              <w:t>第1条</w:t>
            </w:r>
            <w:r>
              <w:rPr>
                <w:rFonts w:hint="default" w:ascii="Times New Roman" w:hAnsi="Times New Roman" w:eastAsia="宋体" w:cs="Times New Roman"/>
                <w:b w:val="0"/>
                <w:bCs w:val="0"/>
                <w:spacing w:val="11"/>
                <w:sz w:val="21"/>
                <w:szCs w:val="21"/>
                <w:lang w:val="en-US" w:eastAsia="zh-CN"/>
              </w:rPr>
              <w:t>要求；</w:t>
            </w:r>
          </w:p>
          <w:p w14:paraId="7A0517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废水储存、处理设施加盖密闭或采取其他等效措施，并密闭排气至有机废气治理设施；</w:t>
            </w:r>
          </w:p>
          <w:p w14:paraId="4681EC6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污水处理站废气采用吸收、氧化、生物法等及其组合工艺进行处理</w:t>
            </w:r>
            <w:r>
              <w:rPr>
                <w:rFonts w:hint="default" w:ascii="Times New Roman" w:hAnsi="Times New Roman" w:cs="Times New Roman"/>
                <w:b w:val="0"/>
                <w:bCs w:val="0"/>
                <w:spacing w:val="11"/>
                <w:sz w:val="21"/>
                <w:szCs w:val="21"/>
                <w:lang w:val="en-US" w:eastAsia="zh-CN"/>
              </w:rPr>
              <w:t>。</w:t>
            </w:r>
          </w:p>
        </w:tc>
        <w:tc>
          <w:tcPr>
            <w:tcW w:w="2799" w:type="dxa"/>
            <w:tcBorders>
              <w:left w:val="single" w:color="auto" w:sz="4" w:space="0"/>
            </w:tcBorders>
            <w:shd w:val="clear" w:color="auto" w:fill="auto"/>
          </w:tcPr>
          <w:p w14:paraId="21B686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eastAsia="宋体" w:cs="Times New Roman"/>
                <w:b w:val="0"/>
                <w:bCs w:val="0"/>
                <w:spacing w:val="11"/>
                <w:sz w:val="21"/>
                <w:szCs w:val="21"/>
                <w:lang w:val="en-US" w:eastAsia="zh-CN"/>
              </w:rPr>
              <w:t>废水采用沟渠输送并加盖密闭，其余同B级要求；</w:t>
            </w:r>
          </w:p>
          <w:p w14:paraId="4C6DAF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同B级要求；</w:t>
            </w:r>
          </w:p>
          <w:p w14:paraId="371404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同B级要求</w:t>
            </w:r>
          </w:p>
        </w:tc>
        <w:tc>
          <w:tcPr>
            <w:tcW w:w="1422" w:type="dxa"/>
            <w:tcBorders>
              <w:left w:val="single" w:color="auto" w:sz="4" w:space="0"/>
            </w:tcBorders>
            <w:shd w:val="clear" w:color="auto" w:fill="auto"/>
            <w:vAlign w:val="center"/>
          </w:tcPr>
          <w:p w14:paraId="27C0C45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37D1C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18A5BAD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en-US" w:bidi="ar-SA"/>
              </w:rPr>
              <w:t>加热炉/</w:t>
            </w:r>
            <w:r>
              <w:rPr>
                <w:rFonts w:hint="default" w:ascii="Times New Roman" w:hAnsi="Times New Roman" w:eastAsia="宋体" w:cs="Times New Roman"/>
                <w:b w:val="0"/>
                <w:bCs w:val="0"/>
                <w:snapToGrid w:val="0"/>
                <w:color w:val="000000"/>
                <w:kern w:val="0"/>
                <w:sz w:val="21"/>
                <w:szCs w:val="21"/>
                <w:lang w:val="en-US" w:eastAsia="zh-CN" w:bidi="ar-SA"/>
              </w:rPr>
              <w:t>窑炉/</w:t>
            </w:r>
            <w:r>
              <w:rPr>
                <w:rFonts w:hint="default" w:ascii="Times New Roman" w:hAnsi="Times New Roman" w:eastAsia="宋体" w:cs="Times New Roman"/>
                <w:b w:val="0"/>
                <w:bCs w:val="0"/>
                <w:snapToGrid w:val="0"/>
                <w:color w:val="000000"/>
                <w:kern w:val="0"/>
                <w:sz w:val="21"/>
                <w:szCs w:val="21"/>
                <w:lang w:val="en-US" w:eastAsia="en-US" w:bidi="ar-SA"/>
              </w:rPr>
              <w:t>锅炉及其他</w:t>
            </w:r>
          </w:p>
        </w:tc>
        <w:tc>
          <w:tcPr>
            <w:tcW w:w="11994" w:type="dxa"/>
            <w:gridSpan w:val="3"/>
            <w:tcBorders>
              <w:top w:val="single" w:color="auto" w:sz="4" w:space="0"/>
              <w:bottom w:val="single" w:color="auto" w:sz="4" w:space="0"/>
            </w:tcBorders>
            <w:shd w:val="clear" w:color="auto" w:fill="auto"/>
            <w:vAlign w:val="center"/>
          </w:tcPr>
          <w:p w14:paraId="30AD9A4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rPr>
              <w:t>加热炉/</w:t>
            </w:r>
            <w:r>
              <w:rPr>
                <w:rFonts w:hint="default" w:ascii="Times New Roman" w:hAnsi="Times New Roman" w:eastAsia="宋体" w:cs="Times New Roman"/>
                <w:b w:val="0"/>
                <w:bCs w:val="0"/>
                <w:spacing w:val="6"/>
                <w:sz w:val="21"/>
                <w:szCs w:val="21"/>
                <w:lang w:val="en-US" w:eastAsia="zh-CN"/>
              </w:rPr>
              <w:t>窑炉/</w:t>
            </w:r>
            <w:r>
              <w:rPr>
                <w:rFonts w:hint="default" w:ascii="Times New Roman" w:hAnsi="Times New Roman" w:eastAsia="宋体" w:cs="Times New Roman"/>
                <w:b w:val="0"/>
                <w:bCs w:val="0"/>
                <w:spacing w:val="6"/>
                <w:sz w:val="21"/>
                <w:szCs w:val="21"/>
              </w:rPr>
              <w:t>锅炉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污染治理技术、排放限值执行通用行业应急减排措施制定技术指南涉锅炉/炉窑企业</w:t>
            </w:r>
            <w:r>
              <w:rPr>
                <w:rFonts w:hint="default" w:ascii="Times New Roman" w:hAnsi="Times New Roman" w:cs="Times New Roman"/>
                <w:b w:val="0"/>
                <w:bCs w:val="0"/>
                <w:spacing w:val="6"/>
                <w:sz w:val="21"/>
                <w:szCs w:val="21"/>
                <w:lang w:val="en-US" w:eastAsia="zh-CN"/>
              </w:rPr>
              <w:t>相应绩效分级指标。</w:t>
            </w:r>
          </w:p>
        </w:tc>
        <w:tc>
          <w:tcPr>
            <w:tcW w:w="1422" w:type="dxa"/>
            <w:tcBorders>
              <w:top w:val="single" w:color="auto" w:sz="4" w:space="0"/>
              <w:bottom w:val="single" w:color="auto" w:sz="4" w:space="0"/>
            </w:tcBorders>
            <w:shd w:val="clear" w:color="auto" w:fill="auto"/>
            <w:vAlign w:val="center"/>
          </w:tcPr>
          <w:p w14:paraId="579B5EE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527E3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C0341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无组织管控</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48959BC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一</w:t>
            </w:r>
            <w:r>
              <w:rPr>
                <w:rFonts w:hint="eastAsia" w:ascii="Times New Roman" w:hAnsi="Times New Roman" w:cs="Times New Roman"/>
                <w:b w:val="0"/>
                <w:bCs w:val="0"/>
                <w:spacing w:val="7"/>
                <w:sz w:val="21"/>
                <w:szCs w:val="21"/>
                <w:lang w:val="en-US" w:eastAsia="zh-CN"/>
              </w:rPr>
              <w:t>.</w:t>
            </w:r>
            <w:r>
              <w:rPr>
                <w:rFonts w:hint="default" w:ascii="Times New Roman" w:hAnsi="Times New Roman" w:eastAsia="宋体" w:cs="Times New Roman"/>
                <w:b w:val="0"/>
                <w:bCs w:val="0"/>
                <w:spacing w:val="7"/>
                <w:sz w:val="21"/>
                <w:szCs w:val="21"/>
              </w:rPr>
              <w:t>生产过程</w:t>
            </w:r>
          </w:p>
          <w:p w14:paraId="2AC0E8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所有物料采用密闭/封闭方式储存，含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物料配备废气负压收集至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处理设施；</w:t>
            </w:r>
          </w:p>
          <w:p w14:paraId="636B4CC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厂内物料转移和输送采用气力输送、封闭皮带等，无法封闭的产尘点（物料转载、下料口等）应设</w:t>
            </w:r>
            <w:r>
              <w:rPr>
                <w:rFonts w:hint="default" w:ascii="Times New Roman" w:hAnsi="Times New Roman" w:eastAsia="宋体" w:cs="Times New Roman"/>
                <w:b w:val="0"/>
                <w:bCs w:val="0"/>
                <w:spacing w:val="8"/>
                <w:sz w:val="21"/>
                <w:szCs w:val="21"/>
              </w:rPr>
              <w:t>置独立集气罩，配套的除尘设施不与室内通风除尘混用；</w:t>
            </w:r>
          </w:p>
          <w:p w14:paraId="7D0FB9E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3.</w:t>
            </w:r>
            <w:r>
              <w:rPr>
                <w:rFonts w:hint="default" w:ascii="Times New Roman" w:hAnsi="Times New Roman" w:eastAsia="宋体" w:cs="Times New Roman"/>
                <w:b w:val="0"/>
                <w:bCs w:val="0"/>
                <w:spacing w:val="8"/>
                <w:sz w:val="21"/>
                <w:szCs w:val="21"/>
              </w:rPr>
              <w:t>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物料采用密闭输送、密闭投加或密闭操作间；</w:t>
            </w:r>
          </w:p>
          <w:p w14:paraId="653885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rPr>
              <w:t>车间产尘点安装集气罩进行负压收集，周边无粉尘外溢。各涉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工序采用密闭集气或局部集气</w:t>
            </w:r>
            <w:r>
              <w:rPr>
                <w:rFonts w:hint="default" w:ascii="Times New Roman" w:hAnsi="Times New Roman" w:eastAsia="宋体" w:cs="Times New Roman"/>
                <w:b w:val="0"/>
                <w:bCs w:val="0"/>
                <w:spacing w:val="8"/>
                <w:sz w:val="21"/>
                <w:szCs w:val="21"/>
              </w:rPr>
              <w:t>收集，采用局部集气罩的，距集气罩开口面最远处的</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无组织排放位置，控制风</w:t>
            </w:r>
            <w:r>
              <w:rPr>
                <w:rFonts w:hint="default" w:ascii="Times New Roman" w:hAnsi="Times New Roman" w:eastAsia="宋体" w:cs="Times New Roman"/>
                <w:b w:val="0"/>
                <w:bCs w:val="0"/>
                <w:spacing w:val="7"/>
                <w:sz w:val="21"/>
                <w:szCs w:val="21"/>
              </w:rPr>
              <w:t>速不低于0.3米/</w:t>
            </w:r>
            <w:r>
              <w:rPr>
                <w:rFonts w:hint="default" w:ascii="Times New Roman" w:hAnsi="Times New Roman" w:eastAsia="宋体" w:cs="Times New Roman"/>
                <w:b w:val="0"/>
                <w:bCs w:val="0"/>
                <w:sz w:val="21"/>
                <w:szCs w:val="21"/>
              </w:rPr>
              <w:t>秒。</w:t>
            </w:r>
          </w:p>
          <w:p w14:paraId="5F02EB1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8"/>
                <w:sz w:val="21"/>
                <w:szCs w:val="21"/>
              </w:rPr>
              <w:t>二</w:t>
            </w:r>
            <w:r>
              <w:rPr>
                <w:rFonts w:hint="eastAsia" w:ascii="Times New Roman" w:hAnsi="Times New Roman" w:cs="Times New Roman"/>
                <w:b w:val="0"/>
                <w:bCs w:val="0"/>
                <w:spacing w:val="8"/>
                <w:sz w:val="21"/>
                <w:szCs w:val="21"/>
                <w:lang w:val="en-US" w:eastAsia="zh-CN"/>
              </w:rPr>
              <w:t>.</w:t>
            </w:r>
            <w:r>
              <w:rPr>
                <w:rFonts w:hint="default" w:ascii="Times New Roman" w:hAnsi="Times New Roman" w:eastAsia="宋体" w:cs="Times New Roman"/>
                <w:b w:val="0"/>
                <w:bCs w:val="0"/>
                <w:spacing w:val="8"/>
                <w:sz w:val="21"/>
                <w:szCs w:val="21"/>
              </w:rPr>
              <w:t>车间、料场环境</w:t>
            </w:r>
          </w:p>
          <w:p w14:paraId="74E3FD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生产车间地面干净，生产设施、设备材料表面无积料、积灰现</w:t>
            </w:r>
            <w:r>
              <w:rPr>
                <w:rFonts w:hint="default" w:ascii="Times New Roman" w:hAnsi="Times New Roman" w:eastAsia="宋体" w:cs="Times New Roman"/>
                <w:b w:val="0"/>
                <w:bCs w:val="0"/>
                <w:spacing w:val="7"/>
                <w:sz w:val="21"/>
                <w:szCs w:val="21"/>
              </w:rPr>
              <w:t>象；</w:t>
            </w:r>
          </w:p>
          <w:p w14:paraId="40B97EB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封闭料场顶棚和四周围墙完整，料场内路面全部硬化，料场货物进出大门为硬质材料门或自动感应</w:t>
            </w:r>
            <w:r>
              <w:rPr>
                <w:rFonts w:hint="default" w:ascii="Times New Roman" w:hAnsi="Times New Roman" w:eastAsia="宋体" w:cs="Times New Roman"/>
                <w:b w:val="0"/>
                <w:bCs w:val="0"/>
                <w:spacing w:val="-9"/>
                <w:sz w:val="21"/>
                <w:szCs w:val="21"/>
              </w:rPr>
              <w:t>门；</w:t>
            </w:r>
          </w:p>
          <w:p w14:paraId="47E11A1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在确保安全的前提下，所有门窗应处于封闭状态；</w:t>
            </w:r>
          </w:p>
          <w:p w14:paraId="58D2ACA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rPr>
              <w:t>生产车间无可见烟粉尘外逸。</w:t>
            </w:r>
          </w:p>
          <w:p w14:paraId="05FC23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三、其他</w:t>
            </w:r>
          </w:p>
          <w:p w14:paraId="1503EA6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7"/>
                <w:sz w:val="21"/>
                <w:szCs w:val="21"/>
                <w:lang w:eastAsia="zh-CN"/>
              </w:rPr>
              <w:t>1.</w:t>
            </w:r>
            <w:r>
              <w:rPr>
                <w:rFonts w:hint="default" w:ascii="Times New Roman" w:hAnsi="Times New Roman" w:eastAsia="宋体" w:cs="Times New Roman"/>
                <w:b w:val="0"/>
                <w:bCs w:val="0"/>
                <w:spacing w:val="7"/>
                <w:sz w:val="21"/>
                <w:szCs w:val="21"/>
              </w:rPr>
              <w:t>危险废物贮存库如贮存易产生粉尘、</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6"/>
                <w:sz w:val="21"/>
                <w:szCs w:val="21"/>
                <w:lang w:eastAsia="zh-CN"/>
              </w:rPr>
              <w:t>、</w:t>
            </w:r>
            <w:r>
              <w:rPr>
                <w:rFonts w:hint="default" w:ascii="Times New Roman" w:hAnsi="Times New Roman" w:eastAsia="宋体" w:cs="Times New Roman"/>
                <w:b w:val="0"/>
                <w:bCs w:val="0"/>
                <w:spacing w:val="7"/>
                <w:sz w:val="21"/>
                <w:szCs w:val="21"/>
              </w:rPr>
              <w:t>酸雾、有毒有害大气污染物和刺激性气味气体的危险废</w:t>
            </w:r>
            <w:r>
              <w:rPr>
                <w:rFonts w:hint="default" w:ascii="Times New Roman" w:hAnsi="Times New Roman" w:eastAsia="宋体" w:cs="Times New Roman"/>
                <w:b w:val="0"/>
                <w:bCs w:val="0"/>
                <w:spacing w:val="9"/>
                <w:sz w:val="21"/>
                <w:szCs w:val="21"/>
              </w:rPr>
              <w:t>物，采用闭口容器或包装物内贮存，贮存库设置有废气收集装置</w:t>
            </w:r>
            <w:r>
              <w:rPr>
                <w:rFonts w:hint="default" w:ascii="Times New Roman" w:hAnsi="Times New Roman" w:eastAsia="宋体" w:cs="Times New Roman"/>
                <w:b w:val="0"/>
                <w:bCs w:val="0"/>
                <w:spacing w:val="8"/>
                <w:sz w:val="21"/>
                <w:szCs w:val="21"/>
              </w:rPr>
              <w:t>和废气处理设施；危险废物贮存过程中易产生粉尘等无组织排放的，采取抑尘等有效措施；</w:t>
            </w:r>
          </w:p>
          <w:p w14:paraId="1E84C75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8"/>
                <w:sz w:val="21"/>
                <w:szCs w:val="21"/>
                <w:lang w:eastAsia="zh-CN"/>
              </w:rPr>
              <w:t>2.</w:t>
            </w:r>
            <w:r>
              <w:rPr>
                <w:rFonts w:hint="default" w:ascii="Times New Roman" w:hAnsi="Times New Roman" w:eastAsia="宋体" w:cs="Times New Roman"/>
                <w:b w:val="0"/>
                <w:bCs w:val="0"/>
                <w:spacing w:val="8"/>
                <w:sz w:val="21"/>
                <w:szCs w:val="21"/>
              </w:rPr>
              <w:t>厂区地面全部硬化或绿化，其中未利用地宜优先绿化，无成片裸露土地。</w:t>
            </w:r>
          </w:p>
        </w:tc>
        <w:tc>
          <w:tcPr>
            <w:tcW w:w="2799" w:type="dxa"/>
            <w:tcBorders>
              <w:left w:val="single" w:color="auto" w:sz="4" w:space="0"/>
            </w:tcBorders>
            <w:shd w:val="clear" w:color="auto" w:fill="auto"/>
            <w:vAlign w:val="center"/>
          </w:tcPr>
          <w:p w14:paraId="4978CF5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一</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生产过程</w:t>
            </w:r>
          </w:p>
          <w:p w14:paraId="7806FEA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cs="Times New Roman"/>
                <w:b w:val="0"/>
                <w:bCs w:val="0"/>
                <w:spacing w:val="9"/>
                <w:sz w:val="21"/>
                <w:szCs w:val="21"/>
                <w:lang w:val="en-US" w:eastAsia="zh-CN"/>
              </w:rPr>
              <w:t>至少达到A级要求中1、2、3项；</w:t>
            </w:r>
          </w:p>
          <w:p w14:paraId="4AB9B36A">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default" w:ascii="Times New Roman" w:hAnsi="Times New Roman" w:eastAsia="宋体" w:cs="Times New Roman"/>
                <w:b w:val="0"/>
                <w:bCs w:val="0"/>
                <w:snapToGrid w:val="0"/>
                <w:color w:val="000000"/>
                <w:spacing w:val="8"/>
                <w:kern w:val="0"/>
                <w:sz w:val="21"/>
                <w:szCs w:val="21"/>
                <w:lang w:val="en-US" w:eastAsia="en-US" w:bidi="ar-SA"/>
              </w:rPr>
              <w:t>二</w:t>
            </w:r>
            <w:r>
              <w:rPr>
                <w:rFonts w:hint="eastAsia" w:ascii="Times New Roman" w:hAnsi="Times New Roman" w:cs="Times New Roman"/>
                <w:b w:val="0"/>
                <w:bCs w:val="0"/>
                <w:snapToGrid w:val="0"/>
                <w:color w:val="000000"/>
                <w:spacing w:val="8"/>
                <w:kern w:val="0"/>
                <w:sz w:val="21"/>
                <w:szCs w:val="21"/>
                <w:lang w:val="en-US" w:eastAsia="zh-CN" w:bidi="ar-SA"/>
              </w:rPr>
              <w:t>.</w:t>
            </w:r>
            <w:r>
              <w:rPr>
                <w:rFonts w:hint="default" w:ascii="Times New Roman" w:hAnsi="Times New Roman" w:eastAsia="宋体" w:cs="Times New Roman"/>
                <w:b w:val="0"/>
                <w:bCs w:val="0"/>
                <w:spacing w:val="8"/>
                <w:sz w:val="21"/>
                <w:szCs w:val="21"/>
              </w:rPr>
              <w:t>车间、料场环境</w:t>
            </w:r>
          </w:p>
          <w:p w14:paraId="5F14E81B">
            <w:pPr>
              <w:pStyle w:val="13"/>
              <w:keepNext w:val="0"/>
              <w:keepLines w:val="0"/>
              <w:pageBreakBefore w:val="0"/>
              <w:widowControl/>
              <w:numPr>
                <w:ilvl w:val="-1"/>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cs="Times New Roman"/>
                <w:b w:val="0"/>
                <w:bCs w:val="0"/>
                <w:spacing w:val="9"/>
                <w:sz w:val="21"/>
                <w:szCs w:val="21"/>
                <w:lang w:val="en-US" w:eastAsia="zh-CN"/>
              </w:rPr>
              <w:t>至少达到A级要求中1、2、3项；</w:t>
            </w:r>
          </w:p>
          <w:p w14:paraId="13CD8530">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napToGrid w:val="0"/>
                <w:color w:val="000000"/>
                <w:spacing w:val="6"/>
                <w:kern w:val="0"/>
                <w:sz w:val="21"/>
                <w:szCs w:val="21"/>
                <w:lang w:val="en-US" w:eastAsia="zh-CN" w:bidi="ar-SA"/>
              </w:rPr>
              <w:t>三、</w:t>
            </w:r>
            <w:r>
              <w:rPr>
                <w:rFonts w:hint="default" w:ascii="Times New Roman" w:hAnsi="Times New Roman" w:cs="Times New Roman"/>
                <w:b w:val="0"/>
                <w:bCs w:val="0"/>
                <w:spacing w:val="6"/>
                <w:sz w:val="21"/>
                <w:szCs w:val="21"/>
                <w:lang w:val="en-US" w:eastAsia="zh-CN"/>
              </w:rPr>
              <w:t>其他</w:t>
            </w:r>
          </w:p>
          <w:p w14:paraId="2670138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9"/>
                <w:sz w:val="21"/>
                <w:szCs w:val="21"/>
                <w:lang w:val="en-US" w:eastAsia="zh-CN"/>
              </w:rPr>
              <w:t>至少达到A级要求中1项。</w:t>
            </w:r>
          </w:p>
        </w:tc>
        <w:tc>
          <w:tcPr>
            <w:tcW w:w="1422" w:type="dxa"/>
            <w:tcBorders>
              <w:left w:val="single" w:color="auto" w:sz="4" w:space="0"/>
            </w:tcBorders>
            <w:shd w:val="clear" w:color="auto" w:fill="auto"/>
            <w:vAlign w:val="center"/>
          </w:tcPr>
          <w:p w14:paraId="7B64BE8F">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00FDB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6321C6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排放限值</w:t>
            </w:r>
          </w:p>
        </w:tc>
        <w:tc>
          <w:tcPr>
            <w:tcW w:w="4462" w:type="dxa"/>
            <w:tcBorders>
              <w:top w:val="single" w:color="auto" w:sz="4" w:space="0"/>
              <w:bottom w:val="single" w:color="auto" w:sz="4" w:space="0"/>
              <w:right w:val="single" w:color="auto" w:sz="4" w:space="0"/>
            </w:tcBorders>
            <w:shd w:val="clear" w:color="auto" w:fill="auto"/>
            <w:vAlign w:val="center"/>
          </w:tcPr>
          <w:p w14:paraId="69DE3D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2"/>
                <w:sz w:val="21"/>
                <w:szCs w:val="21"/>
                <w:lang w:eastAsia="zh-CN"/>
              </w:rPr>
              <w:t>1.</w:t>
            </w:r>
            <w:r>
              <w:rPr>
                <w:rFonts w:hint="default" w:ascii="Times New Roman" w:hAnsi="Times New Roman" w:eastAsia="宋体" w:cs="Times New Roman"/>
                <w:b w:val="0"/>
                <w:bCs w:val="0"/>
                <w:spacing w:val="12"/>
                <w:sz w:val="21"/>
                <w:szCs w:val="21"/>
              </w:rPr>
              <w:t>全厂有组织</w:t>
            </w:r>
            <w:r>
              <w:rPr>
                <w:rFonts w:hint="default" w:ascii="Times New Roman" w:hAnsi="Times New Roman" w:eastAsia="宋体" w:cs="Times New Roman"/>
                <w:b w:val="0"/>
                <w:bCs w:val="0"/>
                <w:sz w:val="21"/>
                <w:szCs w:val="21"/>
              </w:rPr>
              <w:t>PM</w:t>
            </w:r>
            <w:r>
              <w:rPr>
                <w:rFonts w:hint="default" w:ascii="Times New Roman" w:hAnsi="Times New Roman" w:eastAsia="宋体" w:cs="Times New Roman"/>
                <w:b w:val="0"/>
                <w:bCs w:val="0"/>
                <w:spacing w:val="-15"/>
                <w:sz w:val="21"/>
                <w:szCs w:val="21"/>
                <w:lang w:eastAsia="zh-CN"/>
              </w:rPr>
              <w:t>、</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12"/>
                <w:sz w:val="21"/>
                <w:szCs w:val="21"/>
              </w:rPr>
              <w:t>有组织排放限值要</w:t>
            </w:r>
            <w:r>
              <w:rPr>
                <w:rFonts w:hint="default" w:ascii="Times New Roman" w:hAnsi="Times New Roman" w:eastAsia="宋体" w:cs="Times New Roman"/>
                <w:b w:val="0"/>
                <w:bCs w:val="0"/>
                <w:spacing w:val="5"/>
                <w:sz w:val="21"/>
                <w:szCs w:val="21"/>
              </w:rPr>
              <w:t>求：10、30</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w:t>
            </w:r>
            <w:r>
              <w:rPr>
                <w:rFonts w:hint="default" w:ascii="Times New Roman" w:hAnsi="Times New Roman" w:eastAsia="宋体" w:cs="Times New Roman"/>
                <w:b w:val="0"/>
                <w:bCs w:val="0"/>
                <w:spacing w:val="5"/>
                <w:sz w:val="21"/>
                <w:szCs w:val="21"/>
                <w:lang w:eastAsia="zh-CN"/>
              </w:rPr>
              <w:t>m³</w:t>
            </w:r>
            <w:r>
              <w:rPr>
                <w:rFonts w:hint="default" w:ascii="Times New Roman" w:hAnsi="Times New Roman" w:eastAsia="宋体" w:cs="Times New Roman"/>
                <w:b w:val="0"/>
                <w:bCs w:val="0"/>
                <w:spacing w:val="5"/>
                <w:sz w:val="21"/>
                <w:szCs w:val="21"/>
              </w:rPr>
              <w:t>，且其他污染物稳定</w:t>
            </w:r>
            <w:r>
              <w:rPr>
                <w:rFonts w:hint="default" w:ascii="Times New Roman" w:hAnsi="Times New Roman" w:eastAsia="宋体" w:cs="Times New Roman"/>
                <w:b w:val="0"/>
                <w:bCs w:val="0"/>
                <w:spacing w:val="4"/>
                <w:sz w:val="21"/>
                <w:szCs w:val="21"/>
              </w:rPr>
              <w:t>达到国家</w:t>
            </w:r>
            <w:r>
              <w:rPr>
                <w:rFonts w:hint="default" w:ascii="Times New Roman" w:hAnsi="Times New Roman" w:eastAsia="宋体" w:cs="Times New Roman"/>
                <w:b w:val="0"/>
                <w:bCs w:val="0"/>
                <w:spacing w:val="6"/>
                <w:sz w:val="21"/>
                <w:szCs w:val="21"/>
              </w:rPr>
              <w:t>排放限值；</w:t>
            </w:r>
          </w:p>
          <w:p w14:paraId="6EE80E5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7"/>
                <w:sz w:val="21"/>
                <w:szCs w:val="21"/>
                <w:lang w:eastAsia="zh-CN"/>
              </w:rPr>
              <w:t>2.</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7"/>
                <w:sz w:val="21"/>
                <w:szCs w:val="21"/>
              </w:rPr>
              <w:t>治理设施去除率达到</w:t>
            </w:r>
            <w:r>
              <w:rPr>
                <w:rFonts w:hint="default" w:ascii="Times New Roman" w:hAnsi="Times New Roman" w:cs="Times New Roman"/>
                <w:b w:val="0"/>
                <w:bCs w:val="0"/>
                <w:spacing w:val="7"/>
                <w:sz w:val="21"/>
                <w:szCs w:val="21"/>
                <w:lang w:val="en-US" w:eastAsia="zh-CN"/>
              </w:rPr>
              <w:t>9</w:t>
            </w:r>
            <w:r>
              <w:rPr>
                <w:rFonts w:hint="default" w:ascii="Times New Roman" w:hAnsi="Times New Roman" w:eastAsia="宋体" w:cs="Times New Roman"/>
                <w:b w:val="0"/>
                <w:bCs w:val="0"/>
                <w:spacing w:val="7"/>
                <w:sz w:val="21"/>
                <w:szCs w:val="21"/>
              </w:rPr>
              <w:t>0%及以上；因废</w:t>
            </w:r>
            <w:r>
              <w:rPr>
                <w:rFonts w:hint="default" w:ascii="Times New Roman" w:hAnsi="Times New Roman" w:eastAsia="宋体" w:cs="Times New Roman"/>
                <w:b w:val="0"/>
                <w:bCs w:val="0"/>
                <w:spacing w:val="11"/>
                <w:sz w:val="21"/>
                <w:szCs w:val="21"/>
              </w:rPr>
              <w:t>气收集、生产工艺原因去除率确实达不到的</w:t>
            </w:r>
            <w:r>
              <w:rPr>
                <w:rFonts w:hint="default" w:ascii="Times New Roman" w:hAnsi="Times New Roman" w:eastAsia="宋体" w:cs="Times New Roman"/>
                <w:b w:val="0"/>
                <w:bCs w:val="0"/>
                <w:spacing w:val="11"/>
                <w:sz w:val="21"/>
                <w:szCs w:val="21"/>
                <w:lang w:eastAsia="zh-CN"/>
              </w:rPr>
              <w:t>，</w:t>
            </w:r>
            <w:r>
              <w:rPr>
                <w:rFonts w:hint="default" w:ascii="Times New Roman" w:hAnsi="Times New Roman" w:eastAsia="宋体" w:cs="Times New Roman"/>
                <w:b w:val="0"/>
                <w:bCs w:val="0"/>
                <w:spacing w:val="28"/>
                <w:sz w:val="21"/>
                <w:szCs w:val="21"/>
              </w:rPr>
              <w:t>生产车间或生产设备的无组织排放监控点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7"/>
                <w:sz w:val="21"/>
                <w:szCs w:val="21"/>
              </w:rPr>
              <w:t>平均浓度低于2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p>
          <w:p w14:paraId="2B7306C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污水处理厂周界监控点环境空气臭气浓度</w:t>
            </w:r>
            <w:r>
              <w:rPr>
                <w:rFonts w:hint="default" w:ascii="Times New Roman" w:hAnsi="Times New Roman" w:eastAsia="宋体" w:cs="Times New Roman"/>
                <w:b w:val="0"/>
                <w:bCs w:val="0"/>
                <w:spacing w:val="5"/>
                <w:sz w:val="21"/>
                <w:szCs w:val="21"/>
              </w:rPr>
              <w:t>低于20，</w:t>
            </w:r>
            <w:r>
              <w:rPr>
                <w:rFonts w:hint="default" w:ascii="Times New Roman" w:hAnsi="Times New Roman" w:eastAsia="宋体" w:cs="Times New Roman"/>
                <w:b w:val="0"/>
                <w:bCs w:val="0"/>
                <w:sz w:val="21"/>
                <w:szCs w:val="21"/>
              </w:rPr>
              <w:t>NH</w:t>
            </w:r>
            <w:r>
              <w:rPr>
                <w:rFonts w:hint="default" w:ascii="Times New Roman" w:hAnsi="Times New Roman" w:eastAsia="宋体" w:cs="Times New Roman"/>
                <w:b w:val="0"/>
                <w:bCs w:val="0"/>
                <w:spacing w:val="5"/>
                <w:position w:val="-1"/>
                <w:sz w:val="21"/>
                <w:szCs w:val="21"/>
                <w:vertAlign w:val="subscript"/>
              </w:rPr>
              <w:t>3</w:t>
            </w:r>
            <w:r>
              <w:rPr>
                <w:rFonts w:hint="default" w:ascii="Times New Roman" w:hAnsi="Times New Roman" w:eastAsia="宋体" w:cs="Times New Roman"/>
                <w:b w:val="0"/>
                <w:bCs w:val="0"/>
                <w:spacing w:val="-4"/>
                <w:position w:val="-1"/>
                <w:sz w:val="21"/>
                <w:szCs w:val="21"/>
                <w:lang w:eastAsia="zh-CN"/>
              </w:rPr>
              <w:t>、</w:t>
            </w:r>
            <w:r>
              <w:rPr>
                <w:rFonts w:hint="default" w:ascii="Times New Roman" w:hAnsi="Times New Roman" w:eastAsia="宋体" w:cs="Times New Roman"/>
                <w:b w:val="0"/>
                <w:bCs w:val="0"/>
                <w:spacing w:val="5"/>
                <w:sz w:val="21"/>
                <w:szCs w:val="21"/>
              </w:rPr>
              <w:t>H</w:t>
            </w:r>
            <w:r>
              <w:rPr>
                <w:rFonts w:hint="default" w:ascii="Times New Roman" w:hAnsi="Times New Roman" w:eastAsia="宋体" w:cs="Times New Roman"/>
                <w:b w:val="0"/>
                <w:bCs w:val="0"/>
                <w:spacing w:val="5"/>
                <w:position w:val="-1"/>
                <w:sz w:val="21"/>
                <w:szCs w:val="21"/>
                <w:vertAlign w:val="subscript"/>
              </w:rPr>
              <w:t>2</w:t>
            </w:r>
            <w:r>
              <w:rPr>
                <w:rFonts w:hint="default" w:ascii="Times New Roman" w:hAnsi="Times New Roman" w:eastAsia="宋体" w:cs="Times New Roman"/>
                <w:b w:val="0"/>
                <w:bCs w:val="0"/>
                <w:spacing w:val="5"/>
                <w:sz w:val="21"/>
                <w:szCs w:val="21"/>
              </w:rPr>
              <w:t>S浓度分别低于0.2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/m³</w:t>
            </w:r>
            <w:r>
              <w:rPr>
                <w:rFonts w:hint="default" w:ascii="Times New Roman" w:hAnsi="Times New Roman" w:eastAsia="宋体" w:cs="Times New Roman"/>
                <w:b w:val="0"/>
                <w:bCs w:val="0"/>
                <w:spacing w:val="-15"/>
                <w:sz w:val="21"/>
                <w:szCs w:val="21"/>
                <w:lang w:eastAsia="zh-CN"/>
              </w:rPr>
              <w:t>、</w:t>
            </w:r>
            <w:r>
              <w:rPr>
                <w:rFonts w:hint="default" w:ascii="Times New Roman" w:hAnsi="Times New Roman" w:eastAsia="宋体" w:cs="Times New Roman"/>
                <w:b w:val="0"/>
                <w:bCs w:val="0"/>
                <w:spacing w:val="5"/>
                <w:sz w:val="21"/>
                <w:szCs w:val="21"/>
              </w:rPr>
              <w:t>0.02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/m³</w:t>
            </w:r>
            <w:r>
              <w:rPr>
                <w:rFonts w:hint="default" w:ascii="Times New Roman" w:hAnsi="Times New Roman" w:cs="Times New Roman"/>
                <w:b w:val="0"/>
                <w:bCs w:val="0"/>
                <w:spacing w:val="5"/>
                <w:sz w:val="21"/>
                <w:szCs w:val="21"/>
                <w:lang w:eastAsia="zh-CN"/>
              </w:rPr>
              <w:t>，</w:t>
            </w:r>
            <w:r>
              <w:rPr>
                <w:rFonts w:hint="default" w:ascii="Times New Roman" w:hAnsi="Times New Roman" w:eastAsia="宋体" w:cs="Times New Roman"/>
                <w:b w:val="0"/>
                <w:bCs w:val="0"/>
                <w:spacing w:val="5"/>
                <w:sz w:val="21"/>
                <w:szCs w:val="21"/>
              </w:rPr>
              <w:t>其他特征污染物满足排污许可证排</w:t>
            </w:r>
            <w:r>
              <w:rPr>
                <w:rFonts w:hint="default" w:ascii="Times New Roman" w:hAnsi="Times New Roman" w:eastAsia="宋体" w:cs="Times New Roman"/>
                <w:b w:val="0"/>
                <w:bCs w:val="0"/>
                <w:spacing w:val="6"/>
                <w:sz w:val="21"/>
                <w:szCs w:val="21"/>
              </w:rPr>
              <w:t>放限值要求。</w:t>
            </w:r>
          </w:p>
        </w:tc>
        <w:tc>
          <w:tcPr>
            <w:tcW w:w="4733" w:type="dxa"/>
            <w:tcBorders>
              <w:top w:val="single" w:color="auto" w:sz="4" w:space="0"/>
              <w:left w:val="single" w:color="auto" w:sz="4" w:space="0"/>
              <w:bottom w:val="single" w:color="auto" w:sz="4" w:space="0"/>
              <w:right w:val="single" w:color="auto" w:sz="4" w:space="0"/>
            </w:tcBorders>
            <w:shd w:val="clear" w:color="auto" w:fill="auto"/>
            <w:vAlign w:val="center"/>
          </w:tcPr>
          <w:p w14:paraId="7B3CD90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全厂有组织PM</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NMHC有组织排放限值要求</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10</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40mg/</w:t>
            </w:r>
            <w:r>
              <w:rPr>
                <w:rFonts w:hint="default" w:ascii="Times New Roman" w:hAnsi="Times New Roman" w:eastAsia="宋体" w:cs="Times New Roman"/>
                <w:b w:val="0"/>
                <w:bCs w:val="0"/>
                <w:spacing w:val="9"/>
                <w:sz w:val="21"/>
                <w:szCs w:val="21"/>
                <w:lang w:eastAsia="zh-CN"/>
              </w:rPr>
              <w:t>m³</w:t>
            </w:r>
            <w:r>
              <w:rPr>
                <w:rFonts w:hint="default" w:ascii="Times New Roman" w:hAnsi="Times New Roman" w:eastAsia="宋体" w:cs="Times New Roman"/>
                <w:b w:val="0"/>
                <w:bCs w:val="0"/>
                <w:spacing w:val="9"/>
                <w:sz w:val="21"/>
                <w:szCs w:val="21"/>
              </w:rPr>
              <w:t>，且其他污染物稳定达到国家排放限值；</w:t>
            </w:r>
          </w:p>
          <w:p w14:paraId="3BEC4F1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同A级第2条要求；</w:t>
            </w:r>
          </w:p>
          <w:p w14:paraId="1BAE42A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同A级第3条要求。</w:t>
            </w:r>
          </w:p>
        </w:tc>
        <w:tc>
          <w:tcPr>
            <w:tcW w:w="4221" w:type="dxa"/>
            <w:gridSpan w:val="2"/>
            <w:tcBorders>
              <w:left w:val="single" w:color="auto" w:sz="4" w:space="0"/>
            </w:tcBorders>
            <w:shd w:val="clear" w:color="auto" w:fill="auto"/>
            <w:vAlign w:val="center"/>
          </w:tcPr>
          <w:p w14:paraId="59A044A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rPr>
              <w:t>各项污染物达到</w:t>
            </w:r>
            <w:r>
              <w:rPr>
                <w:rFonts w:hint="default" w:ascii="Times New Roman" w:hAnsi="Times New Roman" w:cs="Times New Roman"/>
                <w:b w:val="0"/>
                <w:bCs w:val="0"/>
                <w:spacing w:val="6"/>
                <w:sz w:val="21"/>
                <w:szCs w:val="21"/>
                <w:lang w:val="en-US" w:eastAsia="zh-CN"/>
              </w:rPr>
              <w:t>国标</w:t>
            </w:r>
            <w:r>
              <w:rPr>
                <w:rFonts w:hint="default" w:ascii="Times New Roman" w:hAnsi="Times New Roman" w:eastAsia="宋体" w:cs="Times New Roman"/>
                <w:b w:val="0"/>
                <w:bCs w:val="0"/>
                <w:spacing w:val="6"/>
                <w:sz w:val="21"/>
                <w:szCs w:val="21"/>
              </w:rPr>
              <w:t>特别排放限值，同时满足相关地方排放标准要求</w:t>
            </w:r>
            <w:r>
              <w:rPr>
                <w:rFonts w:hint="default" w:ascii="Times New Roman" w:hAnsi="Times New Roman" w:cs="Times New Roman"/>
                <w:b w:val="0"/>
                <w:bCs w:val="0"/>
                <w:spacing w:val="6"/>
                <w:sz w:val="21"/>
                <w:szCs w:val="21"/>
                <w:lang w:eastAsia="zh-CN"/>
              </w:rPr>
              <w:t>。</w:t>
            </w:r>
          </w:p>
        </w:tc>
      </w:tr>
      <w:tr w14:paraId="59C62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1BADA4D">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lang w:val="en-US" w:eastAsia="zh-CN"/>
              </w:rPr>
            </w:pPr>
            <w:r>
              <w:rPr>
                <w:rFonts w:hint="default" w:ascii="Times New Roman" w:hAnsi="Times New Roman" w:eastAsia="宋体" w:cs="Times New Roman"/>
                <w:b w:val="0"/>
                <w:bCs w:val="0"/>
                <w:spacing w:val="7"/>
                <w:sz w:val="21"/>
                <w:szCs w:val="21"/>
                <w:lang w:val="en-US" w:eastAsia="zh-CN"/>
              </w:rPr>
              <w:t>监控监测水平</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4364960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eastAsia" w:ascii="Times New Roman" w:hAnsi="Times New Roman" w:cs="Times New Roman"/>
                <w:b w:val="0"/>
                <w:bCs w:val="0"/>
                <w:spacing w:val="7"/>
                <w:sz w:val="21"/>
                <w:szCs w:val="21"/>
                <w:lang w:val="en-US" w:eastAsia="zh-CN"/>
              </w:rPr>
              <w:t>1.</w:t>
            </w:r>
            <w:r>
              <w:rPr>
                <w:rFonts w:hint="default" w:ascii="Times New Roman" w:hAnsi="Times New Roman" w:eastAsia="宋体" w:cs="Times New Roman"/>
                <w:b w:val="0"/>
                <w:bCs w:val="0"/>
                <w:spacing w:val="7"/>
                <w:sz w:val="21"/>
                <w:szCs w:val="21"/>
              </w:rPr>
              <w:t>重点排污单位风量大于10000</w:t>
            </w:r>
            <w:r>
              <w:rPr>
                <w:rFonts w:hint="default" w:ascii="Times New Roman" w:hAnsi="Times New Roman" w:eastAsia="宋体" w:cs="Times New Roman"/>
                <w:b w:val="0"/>
                <w:bCs w:val="0"/>
                <w:spacing w:val="7"/>
                <w:sz w:val="21"/>
                <w:szCs w:val="21"/>
                <w:lang w:eastAsia="zh-CN"/>
              </w:rPr>
              <w:t>m³</w:t>
            </w:r>
            <w:r>
              <w:rPr>
                <w:rFonts w:hint="default" w:ascii="Times New Roman" w:hAnsi="Times New Roman" w:eastAsia="宋体" w:cs="Times New Roman"/>
                <w:b w:val="0"/>
                <w:bCs w:val="0"/>
                <w:spacing w:val="7"/>
                <w:sz w:val="21"/>
                <w:szCs w:val="21"/>
              </w:rPr>
              <w:t>/h的主要排放口安装NMHC在线监测设施（FID检测器）并按要求联网</w:t>
            </w:r>
            <w:r>
              <w:rPr>
                <w:rFonts w:hint="default" w:ascii="Times New Roman" w:hAnsi="Times New Roman" w:eastAsia="宋体" w:cs="Times New Roman"/>
                <w:b w:val="0"/>
                <w:bCs w:val="0"/>
                <w:spacing w:val="7"/>
                <w:sz w:val="21"/>
                <w:szCs w:val="21"/>
                <w:lang w:val="en-US" w:eastAsia="zh-CN"/>
              </w:rPr>
              <w:t>，CEMS相关数据</w:t>
            </w:r>
            <w:r>
              <w:rPr>
                <w:rFonts w:hint="eastAsia" w:ascii="Times New Roman" w:hAnsi="Times New Roman" w:cs="Times New Roman"/>
                <w:b w:val="0"/>
                <w:bCs w:val="0"/>
                <w:spacing w:val="7"/>
                <w:sz w:val="21"/>
                <w:szCs w:val="21"/>
                <w:lang w:val="en-US" w:eastAsia="zh-CN"/>
              </w:rPr>
              <w:t>至少要保存一年</w:t>
            </w:r>
            <w:r>
              <w:rPr>
                <w:rFonts w:hint="default" w:ascii="Times New Roman" w:hAnsi="Times New Roman" w:eastAsia="宋体" w:cs="Times New Roman"/>
                <w:b w:val="0"/>
                <w:bCs w:val="0"/>
                <w:spacing w:val="7"/>
                <w:sz w:val="21"/>
                <w:szCs w:val="21"/>
              </w:rPr>
              <w:t>；</w:t>
            </w:r>
          </w:p>
          <w:p w14:paraId="2A5158D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lang w:val="en-US" w:eastAsia="zh-CN"/>
              </w:rPr>
            </w:pPr>
            <w:r>
              <w:rPr>
                <w:rFonts w:hint="eastAsia" w:ascii="Times New Roman" w:hAnsi="Times New Roman" w:cs="Times New Roman"/>
                <w:b w:val="0"/>
                <w:bCs w:val="0"/>
                <w:spacing w:val="7"/>
                <w:sz w:val="21"/>
                <w:szCs w:val="21"/>
                <w:lang w:val="en-US" w:eastAsia="zh-CN"/>
              </w:rPr>
              <w:t>2.</w:t>
            </w:r>
            <w:r>
              <w:rPr>
                <w:rFonts w:hint="default" w:ascii="Times New Roman" w:hAnsi="Times New Roman" w:cs="Times New Roman"/>
                <w:b w:val="0"/>
                <w:bCs w:val="0"/>
                <w:spacing w:val="7"/>
                <w:sz w:val="21"/>
                <w:szCs w:val="21"/>
                <w:lang w:val="en-US" w:eastAsia="zh-CN"/>
              </w:rPr>
              <w:t>厂内未安装在线监控的涉气生产设施主要投料口、料场出入口等易产尘点安装高清视频监控系统，视频监控数据保存6个月以上</w:t>
            </w:r>
            <w:r>
              <w:rPr>
                <w:rFonts w:hint="default" w:ascii="Times New Roman" w:hAnsi="Times New Roman" w:eastAsia="宋体" w:cs="Times New Roman"/>
                <w:b w:val="0"/>
                <w:bCs w:val="0"/>
                <w:spacing w:val="7"/>
                <w:sz w:val="21"/>
                <w:szCs w:val="21"/>
                <w:lang w:val="en-US" w:eastAsia="zh-CN"/>
              </w:rPr>
              <w:t>；</w:t>
            </w:r>
          </w:p>
          <w:p w14:paraId="7E11DCD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生产装置（涉及易燃易爆危险化学品）及环保治理设施安装DCS，记录企业环保设施运行（烟气温度、湿度、烟气排放量、污染物排放浓度、风机电流、压力；VOCs治理设施的燃烧温度、脱附时间</w:t>
            </w:r>
            <w:r>
              <w:rPr>
                <w:rFonts w:hint="default" w:ascii="Times New Roman" w:hAnsi="Times New Roman" w:eastAsia="宋体"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脱附频率、脱附周期、脱附温度等；有脱硫设施的，脱硫剂使用量，脱硫剂仓料（液）位（与CEMS时间同步）、风机电流、SO</w:t>
            </w:r>
            <w:r>
              <w:rPr>
                <w:rFonts w:hint="default" w:ascii="Times New Roman" w:hAnsi="Times New Roman" w:eastAsia="宋体" w:cs="Times New Roman"/>
                <w:b w:val="0"/>
                <w:bCs w:val="0"/>
                <w:spacing w:val="7"/>
                <w:sz w:val="21"/>
                <w:szCs w:val="21"/>
                <w:vertAlign w:val="subscript"/>
              </w:rPr>
              <w:t>2</w:t>
            </w:r>
            <w:r>
              <w:rPr>
                <w:rFonts w:hint="default" w:ascii="Times New Roman" w:hAnsi="Times New Roman" w:eastAsia="宋体" w:cs="Times New Roman"/>
                <w:b w:val="0"/>
                <w:bCs w:val="0"/>
                <w:spacing w:val="7"/>
                <w:sz w:val="21"/>
                <w:szCs w:val="21"/>
              </w:rPr>
              <w:t>排放浓度；有脱硝设施的，脱硝剂使用量，脱硝剂仓（液）位，脱硝反应器出入口烟气温度、压力和NOx浓度，风机电流，NOx排放浓度等数据及历史曲线）及相关生产过程（生产时间、产量、负荷、投料量</w:t>
            </w:r>
            <w:r>
              <w:rPr>
                <w:rFonts w:hint="eastAsia" w:ascii="Times New Roman" w:hAnsi="Times New Roman" w:cs="Times New Roman"/>
                <w:b w:val="0"/>
                <w:bCs w:val="0"/>
                <w:spacing w:val="7"/>
                <w:sz w:val="21"/>
                <w:szCs w:val="21"/>
                <w:lang w:eastAsia="zh-CN"/>
              </w:rPr>
              <w:t>）等</w:t>
            </w:r>
            <w:r>
              <w:rPr>
                <w:rFonts w:hint="default" w:ascii="Times New Roman" w:hAnsi="Times New Roman" w:eastAsia="宋体" w:cs="Times New Roman"/>
                <w:b w:val="0"/>
                <w:bCs w:val="0"/>
                <w:spacing w:val="7"/>
                <w:sz w:val="21"/>
                <w:szCs w:val="21"/>
              </w:rPr>
              <w:t>主要参数，DCS监控数据至少保存一年。</w:t>
            </w:r>
          </w:p>
          <w:p w14:paraId="6E05157B">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lang w:val="en-US" w:eastAsia="zh-CN"/>
              </w:rPr>
            </w:pPr>
            <w:r>
              <w:rPr>
                <w:rFonts w:hint="eastAsia" w:ascii="Times New Roman" w:hAnsi="Times New Roman" w:cs="Times New Roman"/>
                <w:b w:val="0"/>
                <w:bCs w:val="0"/>
                <w:spacing w:val="7"/>
                <w:sz w:val="21"/>
                <w:szCs w:val="21"/>
                <w:lang w:val="en-US" w:eastAsia="zh-CN"/>
              </w:rPr>
              <w:t>4.</w:t>
            </w:r>
            <w:r>
              <w:rPr>
                <w:rFonts w:hint="default" w:ascii="Times New Roman" w:hAnsi="Times New Roman" w:cs="Times New Roman"/>
                <w:b w:val="0"/>
                <w:bCs w:val="0"/>
                <w:spacing w:val="7"/>
                <w:sz w:val="21"/>
                <w:szCs w:val="21"/>
                <w:lang w:val="en-US" w:eastAsia="zh-CN"/>
              </w:rPr>
              <w:t>主要涉气生产装置及污染治理设施按要求安装用电监管设备，实现分表计电，用电监管数据按要求与省级主管部门用电监管平台联网。</w:t>
            </w:r>
          </w:p>
        </w:tc>
        <w:tc>
          <w:tcPr>
            <w:tcW w:w="2799" w:type="dxa"/>
            <w:tcBorders>
              <w:left w:val="single" w:color="auto" w:sz="4" w:space="0"/>
            </w:tcBorders>
            <w:shd w:val="clear" w:color="auto" w:fill="auto"/>
            <w:vAlign w:val="center"/>
          </w:tcPr>
          <w:p w14:paraId="5FCEB540">
            <w:pPr>
              <w:pStyle w:val="13"/>
              <w:keepNext w:val="0"/>
              <w:keepLines w:val="0"/>
              <w:pageBreakBefore w:val="0"/>
              <w:widowControl/>
              <w:kinsoku/>
              <w:wordWrap/>
              <w:overflowPunct/>
              <w:topLinePunct w:val="0"/>
              <w:autoSpaceDE w:val="0"/>
              <w:autoSpaceDN w:val="0"/>
              <w:bidi w:val="0"/>
              <w:snapToGrid w:val="0"/>
              <w:spacing w:beforeLines="2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eastAsia="宋体" w:cs="Times New Roman"/>
                <w:b w:val="0"/>
                <w:bCs w:val="0"/>
                <w:spacing w:val="6"/>
                <w:sz w:val="21"/>
                <w:szCs w:val="21"/>
                <w:lang w:val="en-US" w:eastAsia="zh-CN"/>
              </w:rPr>
              <w:t>生产装置</w:t>
            </w:r>
            <w:r>
              <w:rPr>
                <w:rFonts w:hint="default" w:ascii="Times New Roman" w:hAnsi="Times New Roman" w:cs="Times New Roman"/>
                <w:b w:val="0"/>
                <w:bCs w:val="0"/>
                <w:spacing w:val="6"/>
                <w:sz w:val="21"/>
                <w:szCs w:val="21"/>
                <w:lang w:val="en-US" w:eastAsia="zh-CN"/>
              </w:rPr>
              <w:t>和废气处理设备</w:t>
            </w:r>
            <w:r>
              <w:rPr>
                <w:rFonts w:hint="default" w:ascii="Times New Roman" w:hAnsi="Times New Roman" w:eastAsia="宋体" w:cs="Times New Roman"/>
                <w:b w:val="0"/>
                <w:bCs w:val="0"/>
                <w:spacing w:val="6"/>
                <w:sz w:val="21"/>
                <w:szCs w:val="21"/>
                <w:lang w:val="en-US" w:eastAsia="zh-CN"/>
              </w:rPr>
              <w:t>安装PLC</w:t>
            </w:r>
            <w:r>
              <w:rPr>
                <w:rFonts w:hint="default" w:ascii="Times New Roman" w:hAnsi="Times New Roman" w:cs="Times New Roman"/>
                <w:b w:val="0"/>
                <w:bCs w:val="0"/>
                <w:spacing w:val="6"/>
                <w:sz w:val="21"/>
                <w:szCs w:val="21"/>
                <w:lang w:val="en-US" w:eastAsia="zh-CN"/>
              </w:rPr>
              <w:t>/DCS系统</w:t>
            </w:r>
            <w:r>
              <w:rPr>
                <w:rFonts w:hint="default" w:ascii="Times New Roman" w:hAnsi="Times New Roman" w:eastAsia="宋体" w:cs="Times New Roman"/>
                <w:b w:val="0"/>
                <w:bCs w:val="0"/>
                <w:spacing w:val="6"/>
                <w:sz w:val="21"/>
                <w:szCs w:val="21"/>
                <w:lang w:val="en-US" w:eastAsia="zh-CN"/>
              </w:rPr>
              <w:t>，记录生产过程</w:t>
            </w:r>
            <w:r>
              <w:rPr>
                <w:rFonts w:hint="default" w:ascii="Times New Roman" w:hAnsi="Times New Roman" w:cs="Times New Roman"/>
                <w:b w:val="0"/>
                <w:bCs w:val="0"/>
                <w:spacing w:val="6"/>
                <w:sz w:val="21"/>
                <w:szCs w:val="21"/>
                <w:lang w:val="en-US" w:eastAsia="zh-CN"/>
              </w:rPr>
              <w:t>和废气处理设施</w:t>
            </w:r>
            <w:r>
              <w:rPr>
                <w:rFonts w:hint="default" w:ascii="Times New Roman" w:hAnsi="Times New Roman" w:eastAsia="宋体" w:cs="Times New Roman"/>
                <w:b w:val="0"/>
                <w:bCs w:val="0"/>
                <w:spacing w:val="6"/>
                <w:sz w:val="21"/>
                <w:szCs w:val="21"/>
                <w:lang w:val="en-US" w:eastAsia="zh-CN"/>
              </w:rPr>
              <w:t>主要参数，PLC</w:t>
            </w:r>
            <w:r>
              <w:rPr>
                <w:rFonts w:hint="default" w:ascii="Times New Roman" w:hAnsi="Times New Roman" w:cs="Times New Roman"/>
                <w:b w:val="0"/>
                <w:bCs w:val="0"/>
                <w:spacing w:val="6"/>
                <w:sz w:val="21"/>
                <w:szCs w:val="21"/>
                <w:lang w:val="en-US" w:eastAsia="zh-CN"/>
              </w:rPr>
              <w:t>/DCS</w:t>
            </w:r>
            <w:r>
              <w:rPr>
                <w:rFonts w:hint="default" w:ascii="Times New Roman" w:hAnsi="Times New Roman" w:eastAsia="宋体" w:cs="Times New Roman"/>
                <w:b w:val="0"/>
                <w:bCs w:val="0"/>
                <w:spacing w:val="6"/>
                <w:sz w:val="21"/>
                <w:szCs w:val="21"/>
                <w:lang w:val="en-US" w:eastAsia="zh-CN"/>
              </w:rPr>
              <w:t>监控数据</w:t>
            </w:r>
            <w:r>
              <w:rPr>
                <w:rFonts w:hint="eastAsia" w:ascii="Times New Roman" w:hAnsi="Times New Roman" w:cs="Times New Roman"/>
                <w:b w:val="0"/>
                <w:bCs w:val="0"/>
                <w:spacing w:val="6"/>
                <w:sz w:val="21"/>
                <w:szCs w:val="21"/>
                <w:lang w:val="en-US" w:eastAsia="zh-CN"/>
              </w:rPr>
              <w:t>至少要保存一年</w:t>
            </w:r>
            <w:r>
              <w:rPr>
                <w:rFonts w:hint="default" w:ascii="Times New Roman" w:hAnsi="Times New Roman" w:cs="Times New Roman"/>
                <w:b w:val="0"/>
                <w:bCs w:val="0"/>
                <w:spacing w:val="6"/>
                <w:sz w:val="21"/>
                <w:szCs w:val="21"/>
                <w:lang w:val="en-US" w:eastAsia="zh-CN"/>
              </w:rPr>
              <w:t>；</w:t>
            </w:r>
          </w:p>
          <w:p w14:paraId="01F1E13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同A级第2条要求；</w:t>
            </w:r>
          </w:p>
          <w:p w14:paraId="3BCC51D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同A级第3条要求；</w:t>
            </w:r>
          </w:p>
          <w:p w14:paraId="774D5A8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同A级第3条要求。</w:t>
            </w:r>
          </w:p>
        </w:tc>
        <w:tc>
          <w:tcPr>
            <w:tcW w:w="1422" w:type="dxa"/>
            <w:tcBorders>
              <w:left w:val="single" w:color="auto" w:sz="4" w:space="0"/>
            </w:tcBorders>
            <w:shd w:val="clear" w:color="auto" w:fill="auto"/>
            <w:vAlign w:val="center"/>
          </w:tcPr>
          <w:p w14:paraId="0987997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25236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restart"/>
            <w:shd w:val="clear" w:color="auto" w:fill="auto"/>
            <w:vAlign w:val="center"/>
          </w:tcPr>
          <w:p w14:paraId="35C3D7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环境管理</w:t>
            </w:r>
          </w:p>
          <w:p w14:paraId="559AD7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水平</w:t>
            </w:r>
          </w:p>
        </w:tc>
        <w:tc>
          <w:tcPr>
            <w:tcW w:w="13416" w:type="dxa"/>
            <w:gridSpan w:val="4"/>
            <w:tcBorders>
              <w:top w:val="single" w:color="auto" w:sz="4" w:space="0"/>
              <w:bottom w:val="single" w:color="auto" w:sz="4" w:space="0"/>
            </w:tcBorders>
            <w:shd w:val="clear" w:color="auto" w:fill="auto"/>
          </w:tcPr>
          <w:p w14:paraId="2AD5E5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6"/>
                <w:sz w:val="21"/>
                <w:szCs w:val="21"/>
              </w:rPr>
            </w:pPr>
            <w:r>
              <w:rPr>
                <w:rFonts w:hint="default" w:ascii="Times New Roman" w:hAnsi="Times New Roman" w:cs="Times New Roman"/>
                <w:b w:val="0"/>
                <w:bCs w:val="0"/>
                <w:spacing w:val="6"/>
                <w:sz w:val="21"/>
                <w:szCs w:val="21"/>
                <w:lang w:val="en-US" w:eastAsia="zh-CN"/>
              </w:rPr>
              <w:t>环保档案齐全：1、环评批复文件；2、排污许可证及季度、年度执行报告；3、竣工验收文件；4、废气治理设施运行管理规程；5、一年内废气监测报告。</w:t>
            </w:r>
          </w:p>
        </w:tc>
      </w:tr>
      <w:tr w14:paraId="28E17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shd w:val="clear" w:color="auto" w:fill="auto"/>
            <w:vAlign w:val="center"/>
          </w:tcPr>
          <w:p w14:paraId="49F47DA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p>
        </w:tc>
        <w:tc>
          <w:tcPr>
            <w:tcW w:w="9195" w:type="dxa"/>
            <w:gridSpan w:val="2"/>
            <w:tcBorders>
              <w:top w:val="single" w:color="auto" w:sz="4" w:space="0"/>
              <w:bottom w:val="single" w:color="auto" w:sz="4" w:space="0"/>
              <w:right w:val="single" w:color="auto" w:sz="4" w:space="0"/>
            </w:tcBorders>
            <w:shd w:val="clear" w:color="auto" w:fill="auto"/>
            <w:vAlign w:val="center"/>
          </w:tcPr>
          <w:p w14:paraId="51A804D2">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lang w:eastAsia="zh-CN"/>
              </w:rPr>
              <w:t>生产设施运行管理信息（生产时间、运行负荷、产品产量等）；</w:t>
            </w:r>
          </w:p>
          <w:p w14:paraId="06EAA051">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lang w:eastAsia="zh-CN"/>
              </w:rPr>
              <w:t>废气污染治理设施运行、维护、管理信息（包括但不限于废气收集系统和污染治理设施的名称规格、设计参数、运行参数、巡检记录、污染治理易耗品与药剂用量（吸附剂、催化剂、脱硫剂、脱硝剂、过滤耗材等）、操作记录以及维护记录、运行要求等）；</w:t>
            </w:r>
          </w:p>
          <w:p w14:paraId="76527027">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lang w:eastAsia="zh-CN"/>
              </w:rPr>
              <w:t>监测记录信息（主要污染排放口废气排放记录等）；</w:t>
            </w:r>
          </w:p>
          <w:p w14:paraId="2E1AFAFA">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lang w:eastAsia="zh-CN"/>
              </w:rPr>
              <w:t>主要原辅材料消耗记录；</w:t>
            </w:r>
          </w:p>
          <w:p w14:paraId="78BF449C">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5.</w:t>
            </w:r>
            <w:r>
              <w:rPr>
                <w:rFonts w:hint="default" w:ascii="Times New Roman" w:hAnsi="Times New Roman" w:eastAsia="宋体" w:cs="Times New Roman"/>
                <w:b w:val="0"/>
                <w:bCs w:val="0"/>
                <w:spacing w:val="9"/>
                <w:sz w:val="21"/>
                <w:szCs w:val="21"/>
                <w:lang w:eastAsia="zh-CN"/>
              </w:rPr>
              <w:t>燃料消耗记录；</w:t>
            </w:r>
          </w:p>
          <w:p w14:paraId="061237BC">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6.</w:t>
            </w:r>
            <w:r>
              <w:rPr>
                <w:rFonts w:hint="default" w:ascii="Times New Roman" w:hAnsi="Times New Roman" w:eastAsia="宋体" w:cs="Times New Roman"/>
                <w:b w:val="0"/>
                <w:bCs w:val="0"/>
                <w:spacing w:val="9"/>
                <w:sz w:val="21"/>
                <w:szCs w:val="21"/>
                <w:lang w:eastAsia="zh-CN"/>
              </w:rPr>
              <w:t>固废、危废暂存、处理记录；</w:t>
            </w:r>
          </w:p>
          <w:p w14:paraId="0E856B49">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7.</w:t>
            </w:r>
            <w:r>
              <w:rPr>
                <w:rFonts w:hint="default" w:ascii="Times New Roman" w:hAnsi="Times New Roman" w:eastAsia="宋体" w:cs="Times New Roman"/>
                <w:b w:val="0"/>
                <w:bCs w:val="0"/>
                <w:spacing w:val="9"/>
                <w:sz w:val="21"/>
                <w:szCs w:val="21"/>
                <w:lang w:eastAsia="zh-CN"/>
              </w:rPr>
              <w:t>如有废气应急旁路，具有在线监控系统运行维护记录和对应备用处置设施</w:t>
            </w:r>
            <w:r>
              <w:rPr>
                <w:rFonts w:hint="eastAsia" w:ascii="Times New Roman" w:hAnsi="Times New Roman" w:cs="Times New Roman"/>
                <w:b w:val="0"/>
                <w:bCs w:val="0"/>
                <w:spacing w:val="9"/>
                <w:sz w:val="21"/>
                <w:szCs w:val="21"/>
                <w:lang w:val="en-US" w:eastAsia="zh-CN"/>
              </w:rPr>
              <w:t>启动</w:t>
            </w:r>
            <w:r>
              <w:rPr>
                <w:rFonts w:hint="default" w:ascii="Times New Roman" w:hAnsi="Times New Roman" w:eastAsia="宋体" w:cs="Times New Roman"/>
                <w:b w:val="0"/>
                <w:bCs w:val="0"/>
                <w:spacing w:val="9"/>
                <w:sz w:val="21"/>
                <w:szCs w:val="21"/>
                <w:lang w:eastAsia="zh-CN"/>
              </w:rPr>
              <w:t>的历史记录、维护和检修记录、向地方生态环境主管部门报告记录；</w:t>
            </w:r>
          </w:p>
          <w:p w14:paraId="0BE54338">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spacing w:val="9"/>
                <w:sz w:val="21"/>
                <w:szCs w:val="21"/>
                <w:lang w:eastAsia="zh-CN"/>
              </w:rPr>
            </w:pPr>
            <w:r>
              <w:rPr>
                <w:rFonts w:hint="eastAsia" w:ascii="Times New Roman" w:hAnsi="Times New Roman" w:cs="Times New Roman"/>
                <w:b w:val="0"/>
                <w:bCs w:val="0"/>
                <w:spacing w:val="9"/>
                <w:sz w:val="21"/>
                <w:szCs w:val="21"/>
                <w:lang w:eastAsia="zh-CN"/>
              </w:rPr>
              <w:t>8.</w:t>
            </w:r>
            <w:r>
              <w:rPr>
                <w:rFonts w:hint="default" w:ascii="Times New Roman" w:hAnsi="Times New Roman" w:eastAsia="宋体" w:cs="Times New Roman"/>
                <w:b w:val="0"/>
                <w:bCs w:val="0"/>
                <w:spacing w:val="9"/>
                <w:sz w:val="21"/>
                <w:szCs w:val="21"/>
                <w:lang w:eastAsia="zh-CN"/>
              </w:rPr>
              <w:t>运输车辆、厂内车辆、非道路移动机械电子台账（进出厂时间、车辆或机械信息、运送货物名称及运量等）。</w:t>
            </w:r>
          </w:p>
        </w:tc>
        <w:tc>
          <w:tcPr>
            <w:tcW w:w="2799" w:type="dxa"/>
            <w:tcBorders>
              <w:left w:val="single" w:color="auto" w:sz="4" w:space="0"/>
            </w:tcBorders>
            <w:shd w:val="clear" w:color="auto" w:fill="auto"/>
            <w:vAlign w:val="center"/>
          </w:tcPr>
          <w:p w14:paraId="275DB345">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p>
          <w:p w14:paraId="595D703B">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firstLineChars="0"/>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cs="Times New Roman"/>
                <w:b w:val="0"/>
                <w:bCs w:val="0"/>
                <w:spacing w:val="9"/>
                <w:sz w:val="21"/>
                <w:szCs w:val="21"/>
                <w:lang w:val="en-US" w:eastAsia="zh-CN"/>
              </w:rPr>
              <w:t>至少达到A级要求中1、2、3、4项。</w:t>
            </w:r>
          </w:p>
        </w:tc>
        <w:tc>
          <w:tcPr>
            <w:tcW w:w="1422" w:type="dxa"/>
            <w:tcBorders>
              <w:left w:val="single" w:color="auto" w:sz="4" w:space="0"/>
            </w:tcBorders>
            <w:shd w:val="clear" w:color="auto" w:fill="auto"/>
            <w:vAlign w:val="center"/>
          </w:tcPr>
          <w:p w14:paraId="48CB000F">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firstLineChars="0"/>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7E317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shd w:val="clear" w:color="auto" w:fill="auto"/>
            <w:vAlign w:val="center"/>
          </w:tcPr>
          <w:p w14:paraId="2C3C240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p>
        </w:tc>
        <w:tc>
          <w:tcPr>
            <w:tcW w:w="9195" w:type="dxa"/>
            <w:gridSpan w:val="2"/>
            <w:tcBorders>
              <w:top w:val="single" w:color="auto" w:sz="4" w:space="0"/>
              <w:bottom w:val="single" w:color="auto" w:sz="4" w:space="0"/>
              <w:right w:val="single" w:color="auto" w:sz="4" w:space="0"/>
            </w:tcBorders>
            <w:shd w:val="clear" w:color="auto" w:fill="auto"/>
            <w:vAlign w:val="center"/>
          </w:tcPr>
          <w:p w14:paraId="0134C28E">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人员配置：设置环保部门，配备专职环保人员，并具备相应的环境管理能力。</w:t>
            </w:r>
          </w:p>
        </w:tc>
        <w:tc>
          <w:tcPr>
            <w:tcW w:w="4221" w:type="dxa"/>
            <w:gridSpan w:val="2"/>
            <w:tcBorders>
              <w:top w:val="single" w:color="auto" w:sz="4" w:space="0"/>
              <w:left w:val="single" w:color="auto" w:sz="4" w:space="0"/>
              <w:bottom w:val="single" w:color="auto" w:sz="4" w:space="0"/>
            </w:tcBorders>
            <w:shd w:val="clear" w:color="auto" w:fill="auto"/>
            <w:vAlign w:val="center"/>
          </w:tcPr>
          <w:p w14:paraId="7C2AF2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259E7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7CC2EAC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7"/>
                <w:sz w:val="21"/>
                <w:szCs w:val="21"/>
              </w:rPr>
              <w:t>运输方式</w:t>
            </w:r>
          </w:p>
        </w:tc>
        <w:tc>
          <w:tcPr>
            <w:tcW w:w="4462" w:type="dxa"/>
            <w:tcBorders>
              <w:top w:val="single" w:color="auto" w:sz="4" w:space="0"/>
              <w:bottom w:val="single" w:color="auto" w:sz="4" w:space="0"/>
              <w:right w:val="single" w:color="auto" w:sz="4" w:space="0"/>
            </w:tcBorders>
            <w:shd w:val="clear" w:color="auto" w:fill="auto"/>
            <w:vAlign w:val="center"/>
          </w:tcPr>
          <w:p w14:paraId="09DCE57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46E148F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21C363E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tc>
        <w:tc>
          <w:tcPr>
            <w:tcW w:w="4733" w:type="dxa"/>
            <w:tcBorders>
              <w:top w:val="single" w:color="auto" w:sz="4" w:space="0"/>
              <w:left w:val="single" w:color="auto" w:sz="4" w:space="0"/>
              <w:bottom w:val="single" w:color="auto" w:sz="4" w:space="0"/>
              <w:right w:val="single" w:color="auto" w:sz="4" w:space="0"/>
            </w:tcBorders>
            <w:shd w:val="clear" w:color="auto" w:fill="auto"/>
            <w:vAlign w:val="center"/>
          </w:tcPr>
          <w:p w14:paraId="14AA9FB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7BC3EB9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0180E08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tc>
        <w:tc>
          <w:tcPr>
            <w:tcW w:w="2799" w:type="dxa"/>
            <w:tcBorders>
              <w:left w:val="single" w:color="auto" w:sz="4" w:space="0"/>
            </w:tcBorders>
            <w:shd w:val="clear" w:color="auto" w:fill="auto"/>
            <w:vAlign w:val="center"/>
          </w:tcPr>
          <w:p w14:paraId="6E5FA9CE">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2EF61E5A">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2B20E8C7">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tc>
        <w:tc>
          <w:tcPr>
            <w:tcW w:w="1422" w:type="dxa"/>
            <w:tcBorders>
              <w:left w:val="single" w:color="auto" w:sz="4" w:space="0"/>
            </w:tcBorders>
            <w:shd w:val="clear" w:color="auto" w:fill="auto"/>
            <w:vAlign w:val="center"/>
          </w:tcPr>
          <w:p w14:paraId="7B25B5A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26E75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5708135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7"/>
                <w:sz w:val="21"/>
                <w:szCs w:val="21"/>
              </w:rPr>
              <w:t>运输监管</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7983A07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10"/>
                <w:sz w:val="21"/>
                <w:szCs w:val="21"/>
              </w:rPr>
            </w:pPr>
            <w:r>
              <w:rPr>
                <w:rFonts w:hint="default" w:ascii="Times New Roman" w:hAnsi="Times New Roman" w:eastAsia="宋体" w:cs="Times New Roman"/>
                <w:b w:val="0"/>
                <w:bCs w:val="0"/>
                <w:spacing w:val="5"/>
                <w:sz w:val="21"/>
                <w:szCs w:val="21"/>
              </w:rPr>
              <w:t>参照《</w:t>
            </w:r>
            <w:r>
              <w:rPr>
                <w:rFonts w:hint="default" w:ascii="Times New Roman" w:hAnsi="Times New Roman" w:cs="Times New Roman"/>
                <w:b w:val="0"/>
                <w:bCs w:val="0"/>
                <w:spacing w:val="5"/>
                <w:sz w:val="21"/>
                <w:szCs w:val="21"/>
                <w:lang w:eastAsia="zh-CN"/>
              </w:rPr>
              <w:t>重点行业移动源监管与核查技术指南</w:t>
            </w:r>
            <w:r>
              <w:rPr>
                <w:rFonts w:hint="default" w:ascii="Times New Roman" w:hAnsi="Times New Roman" w:eastAsia="宋体" w:cs="Times New Roman"/>
                <w:b w:val="0"/>
                <w:bCs w:val="0"/>
                <w:spacing w:val="5"/>
                <w:sz w:val="21"/>
                <w:szCs w:val="21"/>
              </w:rPr>
              <w:t>》建立门禁视频监控系统和电子台账</w:t>
            </w:r>
            <w:r>
              <w:rPr>
                <w:rFonts w:hint="default" w:ascii="Times New Roman" w:hAnsi="Times New Roman" w:cs="Times New Roman"/>
                <w:b w:val="0"/>
                <w:bCs w:val="0"/>
                <w:spacing w:val="5"/>
                <w:sz w:val="21"/>
                <w:szCs w:val="21"/>
                <w:lang w:eastAsia="zh-CN"/>
              </w:rPr>
              <w:t>，</w:t>
            </w:r>
            <w:r>
              <w:rPr>
                <w:rFonts w:hint="default" w:ascii="Times New Roman" w:hAnsi="Times New Roman" w:eastAsia="宋体" w:cs="Times New Roman"/>
                <w:b w:val="0"/>
                <w:bCs w:val="0"/>
                <w:spacing w:val="5"/>
                <w:sz w:val="21"/>
                <w:szCs w:val="21"/>
              </w:rPr>
              <w:t>门禁视频监控系统与省级移动源监管平台联网。</w:t>
            </w:r>
          </w:p>
        </w:tc>
        <w:tc>
          <w:tcPr>
            <w:tcW w:w="4221" w:type="dxa"/>
            <w:gridSpan w:val="2"/>
            <w:tcBorders>
              <w:left w:val="single" w:color="auto" w:sz="4" w:space="0"/>
            </w:tcBorders>
            <w:shd w:val="clear" w:color="auto" w:fill="auto"/>
            <w:vAlign w:val="center"/>
          </w:tcPr>
          <w:p w14:paraId="169B27F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5"/>
                <w:sz w:val="21"/>
                <w:szCs w:val="21"/>
              </w:rPr>
              <w:t>未达到A、B级要求</w:t>
            </w:r>
          </w:p>
        </w:tc>
      </w:tr>
    </w:tbl>
    <w:p w14:paraId="27A38583">
      <w:pPr>
        <w:spacing w:line="183" w:lineRule="auto"/>
        <w:rPr>
          <w:rFonts w:hint="default" w:ascii="Times New Roman" w:hAnsi="Times New Roman" w:eastAsia="宋体" w:cs="Times New Roman"/>
          <w:sz w:val="28"/>
          <w:szCs w:val="28"/>
        </w:rPr>
        <w:sectPr>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674E43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9" w:name="_Toc2654"/>
      <w:bookmarkStart w:id="40" w:name="_Toc16704"/>
      <w:r>
        <w:rPr>
          <w:rFonts w:hint="default" w:ascii="Times New Roman" w:hAnsi="Times New Roman" w:eastAsia="楷体" w:cs="Times New Roman"/>
          <w:b/>
          <w:sz w:val="30"/>
          <w:szCs w:val="30"/>
        </w:rPr>
        <w:t>（五）减排措施</w:t>
      </w:r>
      <w:bookmarkEnd w:id="39"/>
      <w:bookmarkEnd w:id="40"/>
    </w:p>
    <w:p w14:paraId="421CBD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A级企业</w:t>
      </w:r>
    </w:p>
    <w:p w14:paraId="0F0909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106E18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B级企业</w:t>
      </w:r>
    </w:p>
    <w:p w14:paraId="0D7A4B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70529F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橙色预警期间：涉气工序限产20%，重点排污单位在每次预警启动前以预警发布前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1112BB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红色预警期间：涉气工序限产30%，重点排污单位在每次预警启动前以预警发布前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563C3B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C级企业</w:t>
      </w:r>
    </w:p>
    <w:p w14:paraId="7DCF82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涉气工序限产30%</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47D7BF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涉气工序限产50%</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4833CD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涉气工序全部停产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561F5F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D级企业</w:t>
      </w:r>
    </w:p>
    <w:p w14:paraId="12D4F8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停止除纯电、氢燃料电池以外的运输车辆和非道路移动机械。</w:t>
      </w:r>
    </w:p>
    <w:p w14:paraId="747B0E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rPr>
        <w:t>备注</w:t>
      </w:r>
    </w:p>
    <w:p w14:paraId="7C1323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短时间内反应釜、精馏塔、连续化反应装置等难以停产的工序，建议在重污染频发的秋冬季期间，提前调整生产计划，确保预警期间企业能够落实最高级别相应应急减排措施</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有机化工行业企业工艺改造、废气收集</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末端治理等环节均须进行安全评估，在保证安全的前提下改造、运行。</w:t>
      </w:r>
    </w:p>
    <w:p w14:paraId="2806469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41" w:name="_Toc32284"/>
      <w:bookmarkStart w:id="42" w:name="_Toc3135"/>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六</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核查方法</w:t>
      </w:r>
      <w:bookmarkEnd w:id="41"/>
      <w:bookmarkEnd w:id="42"/>
    </w:p>
    <w:p w14:paraId="768EC0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电量分析：</w:t>
      </w:r>
      <w:r>
        <w:rPr>
          <w:rFonts w:hint="default" w:ascii="Times New Roman" w:hAnsi="Times New Roman" w:eastAsia="宋体" w:cs="Times New Roman"/>
          <w:spacing w:val="-2"/>
          <w:sz w:val="28"/>
          <w:szCs w:val="28"/>
        </w:rPr>
        <w:t>从电力平台调取企业用电量情况，分析历史预警期间电量变化</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比对采取减排措施期间的用电量是否有明显下降趋势，初步判断企业未按规定落实相应应急减排措施。上述判断应结合现场核查</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台账核查等方式，做最终判断。</w:t>
      </w:r>
    </w:p>
    <w:p w14:paraId="6E5DCB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现场核查：</w:t>
      </w:r>
      <w:r>
        <w:rPr>
          <w:rFonts w:hint="default" w:ascii="Times New Roman" w:hAnsi="Times New Roman" w:eastAsia="宋体" w:cs="Times New Roman"/>
          <w:spacing w:val="-2"/>
          <w:sz w:val="28"/>
          <w:szCs w:val="28"/>
        </w:rPr>
        <w:t>查看污染治理设施是否稳定运行；查看主要生产设备预警期间是否按要求实施停限产。</w:t>
      </w:r>
    </w:p>
    <w:p w14:paraId="1FBBEF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台账核查：</w:t>
      </w:r>
      <w:r>
        <w:rPr>
          <w:rFonts w:hint="default" w:ascii="Times New Roman" w:hAnsi="Times New Roman" w:eastAsia="宋体" w:cs="Times New Roman"/>
          <w:spacing w:val="-2"/>
          <w:sz w:val="28"/>
          <w:szCs w:val="28"/>
        </w:rPr>
        <w:t>查阅主要生产设备运行台账，查看原辅料等使用量，产品产量</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判断预警期间是否落实停产要求，核查企业运输车辆、厂内车辆、非道路移动机械电子台账及企业地磅、轨道衡等物流进出量。</w:t>
      </w:r>
    </w:p>
    <w:p w14:paraId="578B29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spacing w:val="-2"/>
          <w:sz w:val="28"/>
          <w:szCs w:val="28"/>
        </w:rPr>
        <w:t>调取厂区货运进出口视频监控记录，查看运输管理台账</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比对预警前后厂区汽车运输情况，检查是否符合要求；现场抽查运行车辆和非道路移动机械，核查排放阶段是否符合要求。</w:t>
      </w:r>
    </w:p>
    <w:p w14:paraId="1F244CDD">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43" w:name="bookmark16"/>
      <w:bookmarkEnd w:id="43"/>
      <w:bookmarkStart w:id="44" w:name="bookmark20"/>
      <w:bookmarkEnd w:id="44"/>
      <w:bookmarkStart w:id="45" w:name="bookmark22"/>
      <w:bookmarkEnd w:id="45"/>
      <w:bookmarkStart w:id="46" w:name="bookmark14"/>
      <w:bookmarkEnd w:id="46"/>
      <w:bookmarkStart w:id="47" w:name="bookmark12"/>
      <w:bookmarkEnd w:id="47"/>
      <w:bookmarkStart w:id="48" w:name="bookmark8"/>
      <w:bookmarkEnd w:id="48"/>
      <w:bookmarkStart w:id="49" w:name="_Toc12128"/>
      <w:bookmarkStart w:id="50" w:name="_Toc9794"/>
      <w:r>
        <w:rPr>
          <w:rFonts w:hint="default" w:ascii="Times New Roman" w:hAnsi="Times New Roman" w:cs="Times New Roman"/>
          <w:b/>
          <w:sz w:val="32"/>
          <w:szCs w:val="32"/>
          <w:lang w:val="en-US" w:eastAsia="zh-CN"/>
        </w:rPr>
        <w:t>四、汽修行业</w:t>
      </w:r>
      <w:bookmarkEnd w:id="49"/>
      <w:bookmarkEnd w:id="50"/>
    </w:p>
    <w:p w14:paraId="69606EA7">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1" w:name="_Toc3386"/>
      <w:bookmarkStart w:id="52" w:name="_Toc11125"/>
      <w:r>
        <w:rPr>
          <w:rFonts w:hint="default" w:ascii="Times New Roman" w:hAnsi="Times New Roman" w:eastAsia="楷体" w:cs="Times New Roman"/>
          <w:b/>
          <w:sz w:val="30"/>
          <w:szCs w:val="30"/>
          <w:lang w:eastAsia="zh-CN"/>
        </w:rPr>
        <w:t>（一）适用范围</w:t>
      </w:r>
      <w:bookmarkEnd w:id="51"/>
      <w:bookmarkEnd w:id="52"/>
    </w:p>
    <w:p w14:paraId="58EEAB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适用于国民经济行业分类（GB/T4754-2017）中规定的</w:t>
      </w:r>
      <w:r>
        <w:rPr>
          <w:rFonts w:hint="default" w:ascii="Times New Roman" w:hAnsi="Times New Roman" w:eastAsia="宋体" w:cs="Times New Roman"/>
          <w:spacing w:val="-2"/>
          <w:sz w:val="28"/>
          <w:szCs w:val="28"/>
          <w:lang w:val="en-US" w:eastAsia="zh-CN"/>
        </w:rPr>
        <w:t>O</w:t>
      </w:r>
      <w:r>
        <w:rPr>
          <w:rFonts w:hint="default" w:ascii="Times New Roman" w:hAnsi="Times New Roman" w:eastAsia="宋体" w:cs="Times New Roman"/>
          <w:spacing w:val="-2"/>
          <w:sz w:val="28"/>
          <w:szCs w:val="28"/>
          <w:lang w:eastAsia="zh-CN"/>
        </w:rPr>
        <w:t>8111汽车修理、</w:t>
      </w:r>
      <w:r>
        <w:rPr>
          <w:rFonts w:hint="default" w:ascii="Times New Roman" w:hAnsi="Times New Roman" w:eastAsia="宋体" w:cs="Times New Roman"/>
          <w:spacing w:val="-2"/>
          <w:sz w:val="28"/>
          <w:szCs w:val="28"/>
          <w:lang w:val="en-US" w:eastAsia="zh-CN"/>
        </w:rPr>
        <w:t>摩托车修理</w:t>
      </w:r>
      <w:r>
        <w:rPr>
          <w:rFonts w:hint="default" w:ascii="Times New Roman" w:hAnsi="Times New Roman" w:eastAsia="宋体" w:cs="Times New Roman"/>
          <w:spacing w:val="-2"/>
          <w:sz w:val="28"/>
          <w:szCs w:val="28"/>
          <w:lang w:eastAsia="zh-CN"/>
        </w:rPr>
        <w:t>与维护场所，指从事汽车、</w:t>
      </w:r>
      <w:r>
        <w:rPr>
          <w:rFonts w:hint="default" w:ascii="Times New Roman" w:hAnsi="Times New Roman" w:eastAsia="宋体" w:cs="Times New Roman"/>
          <w:spacing w:val="-2"/>
          <w:sz w:val="28"/>
          <w:szCs w:val="28"/>
          <w:lang w:val="en-US" w:eastAsia="zh-CN"/>
        </w:rPr>
        <w:t>摩托车</w:t>
      </w:r>
      <w:r>
        <w:rPr>
          <w:rFonts w:hint="default" w:ascii="Times New Roman" w:hAnsi="Times New Roman" w:eastAsia="宋体" w:cs="Times New Roman"/>
          <w:spacing w:val="-2"/>
          <w:sz w:val="28"/>
          <w:szCs w:val="28"/>
          <w:lang w:eastAsia="zh-CN"/>
        </w:rPr>
        <w:t>修理、维护和保养的企业和个体经营户，主要包括为汽车、</w:t>
      </w:r>
      <w:r>
        <w:rPr>
          <w:rFonts w:hint="default" w:ascii="Times New Roman" w:hAnsi="Times New Roman" w:eastAsia="宋体" w:cs="Times New Roman"/>
          <w:spacing w:val="-2"/>
          <w:sz w:val="28"/>
          <w:szCs w:val="28"/>
          <w:lang w:val="en-US" w:eastAsia="zh-CN"/>
        </w:rPr>
        <w:t>摩托车喷涂</w:t>
      </w:r>
      <w:r>
        <w:rPr>
          <w:rFonts w:hint="default" w:ascii="Times New Roman" w:hAnsi="Times New Roman" w:eastAsia="宋体" w:cs="Times New Roman"/>
          <w:spacing w:val="-2"/>
          <w:sz w:val="28"/>
          <w:szCs w:val="28"/>
          <w:lang w:eastAsia="zh-CN"/>
        </w:rPr>
        <w:t>等涉VOCs排放的工序。</w:t>
      </w:r>
    </w:p>
    <w:p w14:paraId="15A30A5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3" w:name="_Toc25385"/>
      <w:bookmarkStart w:id="54" w:name="_Toc19354"/>
      <w:r>
        <w:rPr>
          <w:rFonts w:hint="default" w:ascii="Times New Roman" w:hAnsi="Times New Roman" w:eastAsia="楷体" w:cs="Times New Roman"/>
          <w:b/>
          <w:sz w:val="30"/>
          <w:szCs w:val="30"/>
          <w:lang w:eastAsia="zh-CN"/>
        </w:rPr>
        <w:t>（二）生产工艺</w:t>
      </w:r>
      <w:bookmarkEnd w:id="53"/>
      <w:bookmarkEnd w:id="54"/>
    </w:p>
    <w:p w14:paraId="3DAAC8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主要污染工序：</w:t>
      </w:r>
      <w:r>
        <w:rPr>
          <w:rFonts w:hint="default" w:ascii="Times New Roman" w:hAnsi="Times New Roman" w:eastAsia="宋体" w:cs="Times New Roman"/>
          <w:spacing w:val="-2"/>
          <w:sz w:val="28"/>
          <w:szCs w:val="28"/>
          <w:lang w:eastAsia="zh-CN"/>
        </w:rPr>
        <w:t>调漆、喷涂、烘干和打磨抛光等。</w:t>
      </w:r>
    </w:p>
    <w:p w14:paraId="1DC0CB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主要能源：</w:t>
      </w:r>
      <w:r>
        <w:rPr>
          <w:rFonts w:hint="default" w:ascii="Times New Roman" w:hAnsi="Times New Roman" w:eastAsia="宋体" w:cs="Times New Roman"/>
          <w:spacing w:val="-2"/>
          <w:sz w:val="28"/>
          <w:szCs w:val="28"/>
          <w:lang w:eastAsia="zh-CN"/>
        </w:rPr>
        <w:t>电、天然气。</w:t>
      </w:r>
    </w:p>
    <w:p w14:paraId="778BEEEF">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5" w:name="_Toc8098"/>
      <w:bookmarkStart w:id="56" w:name="_Toc1430"/>
      <w:r>
        <w:rPr>
          <w:rFonts w:hint="default" w:ascii="Times New Roman" w:hAnsi="Times New Roman" w:eastAsia="楷体" w:cs="Times New Roman"/>
          <w:b/>
          <w:sz w:val="30"/>
          <w:szCs w:val="30"/>
          <w:lang w:eastAsia="zh-CN"/>
        </w:rPr>
        <w:t>（三）主要污染物产排环节</w:t>
      </w:r>
      <w:bookmarkEnd w:id="55"/>
      <w:bookmarkEnd w:id="56"/>
    </w:p>
    <w:p w14:paraId="1B22EA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VOCs：</w:t>
      </w:r>
      <w:r>
        <w:rPr>
          <w:rFonts w:hint="default" w:ascii="Times New Roman" w:hAnsi="Times New Roman" w:eastAsia="宋体" w:cs="Times New Roman"/>
          <w:spacing w:val="-2"/>
          <w:sz w:val="28"/>
          <w:szCs w:val="28"/>
          <w:lang w:eastAsia="zh-CN"/>
        </w:rPr>
        <w:t>主要产生于调漆、喷涂、烘干、修补等涂装工序，主要来源于涂料、稀释剂、清洗剂、固化剂、胶黏剂等含VOCs原辅材料的使用及挥发逸散；</w:t>
      </w:r>
    </w:p>
    <w:p w14:paraId="3E4272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PM：</w:t>
      </w:r>
      <w:r>
        <w:rPr>
          <w:rFonts w:hint="default" w:ascii="Times New Roman" w:hAnsi="Times New Roman" w:eastAsia="宋体" w:cs="Times New Roman"/>
          <w:spacing w:val="-2"/>
          <w:sz w:val="28"/>
          <w:szCs w:val="28"/>
          <w:lang w:eastAsia="zh-CN"/>
        </w:rPr>
        <w:t>主要产生于腻子粉打磨、抛光等工序。</w:t>
      </w:r>
    </w:p>
    <w:p w14:paraId="3A8B0E5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sz w:val="30"/>
          <w:szCs w:val="30"/>
          <w:lang w:eastAsia="zh-CN"/>
        </w:rPr>
      </w:pPr>
      <w:bookmarkStart w:id="57" w:name="_Toc6548"/>
      <w:bookmarkStart w:id="58" w:name="_Toc31504"/>
      <w:r>
        <w:rPr>
          <w:rFonts w:hint="default" w:ascii="Times New Roman" w:hAnsi="Times New Roman" w:eastAsia="楷体" w:cs="Times New Roman"/>
          <w:b/>
          <w:sz w:val="30"/>
          <w:szCs w:val="30"/>
          <w:lang w:eastAsia="zh-CN"/>
        </w:rPr>
        <w:t>（四）绩效</w:t>
      </w:r>
      <w:r>
        <w:rPr>
          <w:rFonts w:hint="default" w:ascii="Times New Roman" w:hAnsi="Times New Roman" w:eastAsia="楷体" w:cs="Times New Roman"/>
          <w:b/>
          <w:sz w:val="30"/>
          <w:szCs w:val="30"/>
          <w:lang w:val="en-US" w:eastAsia="zh-CN"/>
        </w:rPr>
        <w:t>分级</w:t>
      </w:r>
      <w:r>
        <w:rPr>
          <w:rFonts w:hint="default" w:ascii="Times New Roman" w:hAnsi="Times New Roman" w:eastAsia="楷体" w:cs="Times New Roman"/>
          <w:b/>
          <w:sz w:val="30"/>
          <w:szCs w:val="30"/>
          <w:lang w:eastAsia="zh-CN"/>
        </w:rPr>
        <w:t>指标</w:t>
      </w:r>
      <w:bookmarkEnd w:id="57"/>
      <w:bookmarkEnd w:id="58"/>
    </w:p>
    <w:p w14:paraId="51ABA003">
      <w:pPr>
        <w:rPr>
          <w:rFonts w:hint="default" w:ascii="Times New Roman" w:hAnsi="Times New Roman" w:eastAsia="楷体" w:cs="Times New Roman"/>
          <w:b/>
          <w:sz w:val="30"/>
          <w:szCs w:val="30"/>
          <w:lang w:eastAsia="zh-CN"/>
        </w:rPr>
      </w:pPr>
    </w:p>
    <w:p w14:paraId="567CA35C">
      <w:pPr>
        <w:rPr>
          <w:rFonts w:hint="default" w:ascii="Times New Roman" w:hAnsi="Times New Roman" w:eastAsia="楷体" w:cs="Times New Roman"/>
          <w:b/>
          <w:sz w:val="30"/>
          <w:szCs w:val="30"/>
          <w:lang w:eastAsia="zh-CN"/>
        </w:rPr>
        <w:sectPr>
          <w:footerReference r:id="rId11" w:type="default"/>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46ADFB7D">
      <w:pPr>
        <w:rPr>
          <w:rFonts w:hint="default" w:ascii="Times New Roman" w:hAnsi="Times New Roman" w:eastAsia="楷体" w:cs="Times New Roman"/>
          <w:b/>
          <w:sz w:val="30"/>
          <w:szCs w:val="30"/>
          <w:lang w:eastAsia="zh-CN"/>
        </w:rPr>
      </w:pPr>
    </w:p>
    <w:p w14:paraId="5EA827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cs="Times New Roma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汽修行业绩效分级指标</w:t>
      </w:r>
    </w:p>
    <w:tbl>
      <w:tblPr>
        <w:tblStyle w:val="12"/>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01"/>
        <w:gridCol w:w="3544"/>
        <w:gridCol w:w="4428"/>
        <w:gridCol w:w="2509"/>
        <w:gridCol w:w="2504"/>
      </w:tblGrid>
      <w:tr w14:paraId="58247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2179C58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7"/>
                <w:sz w:val="21"/>
                <w:szCs w:val="21"/>
              </w:rPr>
              <w:t>差异化指标</w:t>
            </w:r>
          </w:p>
        </w:tc>
        <w:tc>
          <w:tcPr>
            <w:tcW w:w="1267" w:type="pct"/>
            <w:vAlign w:val="center"/>
          </w:tcPr>
          <w:p w14:paraId="6BBF205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A级企业</w:t>
            </w:r>
          </w:p>
        </w:tc>
        <w:tc>
          <w:tcPr>
            <w:tcW w:w="1583" w:type="pct"/>
            <w:vAlign w:val="center"/>
          </w:tcPr>
          <w:p w14:paraId="4B6407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B级企业</w:t>
            </w:r>
          </w:p>
        </w:tc>
        <w:tc>
          <w:tcPr>
            <w:tcW w:w="897" w:type="pct"/>
            <w:tcBorders>
              <w:right w:val="single" w:color="auto" w:sz="4" w:space="0"/>
            </w:tcBorders>
            <w:vAlign w:val="center"/>
          </w:tcPr>
          <w:p w14:paraId="16E109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C级企业</w:t>
            </w:r>
          </w:p>
        </w:tc>
        <w:tc>
          <w:tcPr>
            <w:tcW w:w="894" w:type="pct"/>
            <w:tcBorders>
              <w:right w:val="single" w:color="auto" w:sz="4" w:space="0"/>
            </w:tcBorders>
            <w:vAlign w:val="center"/>
          </w:tcPr>
          <w:p w14:paraId="188C2FF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19C7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498E70CD">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p w14:paraId="5B101B7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废气治理技术</w:t>
            </w:r>
          </w:p>
        </w:tc>
        <w:tc>
          <w:tcPr>
            <w:tcW w:w="1267" w:type="pct"/>
          </w:tcPr>
          <w:p w14:paraId="481B26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使用溶剂型涂料时，调漆、喷漆、烘干等涂装工序废气排至废气收集处理系统，采用漆雾预处理+热力焚烧或吸附浓缩+燃烧等治理技术</w:t>
            </w:r>
            <w:r>
              <w:rPr>
                <w:rFonts w:hint="default" w:ascii="Times New Roman" w:hAnsi="Times New Roman" w:cs="Times New Roman"/>
                <w:b w:val="0"/>
                <w:bCs w:val="0"/>
                <w:spacing w:val="0"/>
                <w:position w:val="0"/>
                <w:sz w:val="21"/>
                <w:szCs w:val="21"/>
                <w:lang w:eastAsia="zh-CN"/>
              </w:rPr>
              <w:t>，处理效率≥95%</w:t>
            </w:r>
            <w:r>
              <w:rPr>
                <w:rFonts w:hint="default" w:ascii="Times New Roman" w:hAnsi="Times New Roman" w:eastAsia="宋体" w:cs="Times New Roman"/>
                <w:b w:val="0"/>
                <w:bCs w:val="0"/>
                <w:spacing w:val="0"/>
                <w:position w:val="0"/>
                <w:sz w:val="21"/>
                <w:szCs w:val="21"/>
              </w:rPr>
              <w:t>；</w:t>
            </w:r>
          </w:p>
          <w:p w14:paraId="0BBAD56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打磨废气收集至袋式除尘、滤筒除尘等除尘器（设计效率高于99%）。</w:t>
            </w:r>
          </w:p>
        </w:tc>
        <w:tc>
          <w:tcPr>
            <w:tcW w:w="1583" w:type="pct"/>
          </w:tcPr>
          <w:p w14:paraId="4C93CCC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2"/>
                <w:sz w:val="21"/>
                <w:szCs w:val="21"/>
                <w:lang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使用溶剂型涂料时，调漆、喷漆、烘干等涂装工序废气排至废气收集处理系统，采用漆雾预处理+热力焚烧或吸附浓缩+燃烧等治理技术</w:t>
            </w:r>
            <w:r>
              <w:rPr>
                <w:rFonts w:hint="default" w:ascii="Times New Roman" w:hAnsi="Times New Roman" w:cs="Times New Roman"/>
                <w:b w:val="0"/>
                <w:bCs w:val="0"/>
                <w:spacing w:val="0"/>
                <w:position w:val="0"/>
                <w:sz w:val="21"/>
                <w:szCs w:val="21"/>
                <w:lang w:eastAsia="zh-CN"/>
              </w:rPr>
              <w:t>，处理效率≥</w:t>
            </w:r>
            <w:r>
              <w:rPr>
                <w:rFonts w:hint="default" w:ascii="Times New Roman" w:hAnsi="Times New Roman" w:cs="Times New Roman"/>
                <w:b w:val="0"/>
                <w:bCs w:val="0"/>
                <w:spacing w:val="0"/>
                <w:position w:val="0"/>
                <w:sz w:val="21"/>
                <w:szCs w:val="21"/>
                <w:lang w:val="en-US" w:eastAsia="zh-CN"/>
              </w:rPr>
              <w:t>8</w:t>
            </w:r>
            <w:r>
              <w:rPr>
                <w:rFonts w:hint="default" w:ascii="Times New Roman" w:hAnsi="Times New Roman" w:cs="Times New Roman"/>
                <w:b w:val="0"/>
                <w:bCs w:val="0"/>
                <w:spacing w:val="0"/>
                <w:position w:val="0"/>
                <w:sz w:val="21"/>
                <w:szCs w:val="21"/>
                <w:lang w:eastAsia="zh-CN"/>
              </w:rPr>
              <w:t>5%</w:t>
            </w:r>
            <w:r>
              <w:rPr>
                <w:rFonts w:hint="default" w:ascii="Times New Roman" w:hAnsi="Times New Roman" w:cs="Times New Roman"/>
                <w:b w:val="0"/>
                <w:bCs w:val="0"/>
                <w:spacing w:val="-2"/>
                <w:sz w:val="21"/>
                <w:szCs w:val="21"/>
                <w:lang w:eastAsia="zh-CN"/>
              </w:rPr>
              <w:t>；</w:t>
            </w:r>
          </w:p>
          <w:p w14:paraId="0B2AB7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2"/>
                <w:sz w:val="21"/>
                <w:szCs w:val="21"/>
                <w:lang w:val="en-US" w:eastAsia="zh-CN"/>
              </w:rPr>
            </w:pPr>
            <w:r>
              <w:rPr>
                <w:rFonts w:hint="eastAsia" w:ascii="Times New Roman" w:hAnsi="Times New Roman" w:cs="Times New Roman"/>
                <w:b w:val="0"/>
                <w:bCs w:val="0"/>
                <w:spacing w:val="-2"/>
                <w:sz w:val="21"/>
                <w:szCs w:val="21"/>
                <w:lang w:val="en-US" w:eastAsia="zh-CN"/>
              </w:rPr>
              <w:t>2.</w:t>
            </w:r>
            <w:r>
              <w:rPr>
                <w:rFonts w:hint="default" w:ascii="Times New Roman" w:hAnsi="Times New Roman" w:eastAsia="宋体" w:cs="Times New Roman"/>
                <w:b w:val="0"/>
                <w:bCs w:val="0"/>
                <w:spacing w:val="0"/>
                <w:position w:val="0"/>
                <w:sz w:val="21"/>
                <w:szCs w:val="21"/>
              </w:rPr>
              <w:t>打磨废气收集至袋式除尘、滤筒除尘等除尘器</w:t>
            </w:r>
            <w:r>
              <w:rPr>
                <w:rFonts w:hint="default" w:ascii="Times New Roman" w:hAnsi="Times New Roman" w:cs="Times New Roman"/>
                <w:b w:val="0"/>
                <w:bCs w:val="0"/>
                <w:spacing w:val="0"/>
                <w:position w:val="0"/>
                <w:sz w:val="21"/>
                <w:szCs w:val="21"/>
                <w:lang w:eastAsia="zh-CN"/>
              </w:rPr>
              <w:t>。</w:t>
            </w:r>
          </w:p>
        </w:tc>
        <w:tc>
          <w:tcPr>
            <w:tcW w:w="897" w:type="pct"/>
            <w:tcBorders>
              <w:right w:val="single" w:color="auto" w:sz="4" w:space="0"/>
            </w:tcBorders>
          </w:tcPr>
          <w:p w14:paraId="17B8216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w:t>
            </w:r>
            <w:r>
              <w:rPr>
                <w:rFonts w:hint="default" w:ascii="Times New Roman" w:hAnsi="Times New Roman" w:cs="Times New Roman"/>
                <w:b w:val="0"/>
                <w:bCs w:val="0"/>
                <w:spacing w:val="0"/>
                <w:position w:val="0"/>
                <w:sz w:val="21"/>
                <w:szCs w:val="21"/>
                <w:lang w:eastAsia="zh-CN"/>
              </w:rPr>
              <w:t>，处理效率≥</w:t>
            </w:r>
            <w:r>
              <w:rPr>
                <w:rFonts w:hint="default" w:ascii="Times New Roman" w:hAnsi="Times New Roman" w:cs="Times New Roman"/>
                <w:b w:val="0"/>
                <w:bCs w:val="0"/>
                <w:spacing w:val="0"/>
                <w:position w:val="0"/>
                <w:sz w:val="21"/>
                <w:szCs w:val="21"/>
                <w:lang w:val="en-US" w:eastAsia="zh-CN"/>
              </w:rPr>
              <w:t>80</w:t>
            </w:r>
            <w:r>
              <w:rPr>
                <w:rFonts w:hint="default" w:ascii="Times New Roman" w:hAnsi="Times New Roman" w:cs="Times New Roman"/>
                <w:b w:val="0"/>
                <w:bCs w:val="0"/>
                <w:spacing w:val="0"/>
                <w:position w:val="0"/>
                <w:sz w:val="21"/>
                <w:szCs w:val="21"/>
                <w:lang w:eastAsia="zh-CN"/>
              </w:rPr>
              <w:t>%；</w:t>
            </w:r>
          </w:p>
          <w:p w14:paraId="4E427A8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cs="Times New Roman"/>
                <w:b w:val="0"/>
                <w:bCs w:val="0"/>
                <w:spacing w:val="0"/>
                <w:position w:val="0"/>
                <w:sz w:val="21"/>
                <w:szCs w:val="21"/>
                <w:lang w:val="en-US" w:eastAsia="zh-CN"/>
              </w:rPr>
              <w:t>同B级要求。</w:t>
            </w:r>
          </w:p>
        </w:tc>
        <w:tc>
          <w:tcPr>
            <w:tcW w:w="894" w:type="pct"/>
            <w:tcBorders>
              <w:right w:val="single" w:color="auto" w:sz="4" w:space="0"/>
            </w:tcBorders>
          </w:tcPr>
          <w:p w14:paraId="6FC208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C160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1722684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w:t>
            </w:r>
          </w:p>
          <w:p w14:paraId="2010406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管控</w:t>
            </w:r>
          </w:p>
        </w:tc>
        <w:tc>
          <w:tcPr>
            <w:tcW w:w="2850" w:type="pct"/>
            <w:gridSpan w:val="2"/>
          </w:tcPr>
          <w:p w14:paraId="1BBDF3B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VOCs无组织排放废气收集处理系统应满足《挥发性有机物无组织排放控制标准》（GB37822-2019）特别控制要求；</w:t>
            </w:r>
          </w:p>
          <w:p w14:paraId="4AACBE9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涂装过程中使用的处于施工状态的涂料VOCs含量限值应符合GB/T38597中汽车修补用涂料要求；</w:t>
            </w:r>
          </w:p>
          <w:p w14:paraId="3745210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涂料、稀释剂、胶黏剂、固化剂、清洗剂等VOCs物料应储存于密闭的容器、包装袋或储罐中；盛装VOCs物料的容器或包装袋应存放于密闭空间，在物料非取用状态时应加盖、封口，保持密闭；VOCs物料的转移和输送过程应保持密闭；</w:t>
            </w:r>
          </w:p>
          <w:p w14:paraId="3EEF797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存放过VOCs物料的容器或包装袋应加盖、密封，保持密闭；废溶剂、废吸附剂、沾有涂料或溶剂的棉纱/抹布等废弃物应放入具有标识的密闭容器中；</w:t>
            </w:r>
          </w:p>
          <w:p w14:paraId="4BF518B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5.</w:t>
            </w:r>
            <w:r>
              <w:rPr>
                <w:rFonts w:hint="default" w:ascii="Times New Roman" w:hAnsi="Times New Roman" w:eastAsia="宋体" w:cs="Times New Roman"/>
                <w:b w:val="0"/>
                <w:bCs w:val="0"/>
                <w:spacing w:val="0"/>
                <w:position w:val="0"/>
                <w:sz w:val="21"/>
                <w:szCs w:val="21"/>
              </w:rPr>
              <w:t>调漆工序在专门的调漆室内操作，喷烤漆和烘干工序在专门的喷烤漆房内操作，打磨、清洗、调漆、烘干等工序废气应排至废气收集处理系统，清洗后的废液应密闭收集处理，湿式喷漆房循环水泵间应密闭，安装废气收集处理设施；采用溶剂型涂料的喷枪应密闭清洗；</w:t>
            </w:r>
          </w:p>
          <w:p w14:paraId="638513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6.</w:t>
            </w:r>
            <w:r>
              <w:rPr>
                <w:rFonts w:hint="default" w:ascii="Times New Roman" w:hAnsi="Times New Roman" w:eastAsia="宋体" w:cs="Times New Roman"/>
                <w:b w:val="0"/>
                <w:bCs w:val="0"/>
                <w:spacing w:val="0"/>
                <w:position w:val="0"/>
                <w:sz w:val="21"/>
                <w:szCs w:val="21"/>
              </w:rPr>
              <w:t>涉VOCs物料的密闭空间的封闭区域或封闭式建筑物，除人员、车辆、设备、物料进出时，以及依法设立的排气筒、通风口外</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门窗及其他开口（孔）部位应随时保持关闭状态；</w:t>
            </w:r>
          </w:p>
          <w:p w14:paraId="7502E80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7.</w:t>
            </w:r>
            <w:r>
              <w:rPr>
                <w:rFonts w:hint="default" w:ascii="Times New Roman" w:hAnsi="Times New Roman" w:eastAsia="宋体" w:cs="Times New Roman"/>
                <w:b w:val="0"/>
                <w:bCs w:val="0"/>
                <w:spacing w:val="0"/>
                <w:position w:val="0"/>
                <w:sz w:val="21"/>
                <w:szCs w:val="21"/>
              </w:rPr>
              <w:t>废气收集处理系统应与生产工艺设备同步运行，在生产工艺设备启动前开启、结束后停止；废气收集处理系统发生故障或检修时，对应的生产工艺设备应停止运行，待检修完毕后同步投入使用；</w:t>
            </w:r>
          </w:p>
          <w:p w14:paraId="5F6343B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8.</w:t>
            </w:r>
            <w:r>
              <w:rPr>
                <w:rFonts w:hint="default" w:ascii="Times New Roman" w:hAnsi="Times New Roman" w:eastAsia="宋体" w:cs="Times New Roman"/>
                <w:b w:val="0"/>
                <w:bCs w:val="0"/>
                <w:spacing w:val="0"/>
                <w:position w:val="0"/>
                <w:sz w:val="21"/>
                <w:szCs w:val="21"/>
              </w:rPr>
              <w:t>厂区地面全部硬化或绿化，无成片裸露土地；</w:t>
            </w:r>
          </w:p>
          <w:p w14:paraId="1B28BDB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9.</w:t>
            </w:r>
            <w:r>
              <w:rPr>
                <w:rFonts w:hint="default" w:ascii="Times New Roman" w:hAnsi="Times New Roman" w:eastAsia="宋体" w:cs="Times New Roman"/>
                <w:b w:val="0"/>
                <w:bCs w:val="0"/>
                <w:spacing w:val="0"/>
                <w:position w:val="0"/>
                <w:sz w:val="21"/>
                <w:szCs w:val="21"/>
              </w:rPr>
              <w:t>贮存易产生VOCs和异味的危险废物贮存库，设有废气收集装置和处理设施，废气处理设施的排气筒高度不低于15m。</w:t>
            </w:r>
          </w:p>
        </w:tc>
        <w:tc>
          <w:tcPr>
            <w:tcW w:w="1791" w:type="pct"/>
            <w:gridSpan w:val="2"/>
            <w:tcBorders>
              <w:right w:val="single" w:color="auto" w:sz="4" w:space="0"/>
            </w:tcBorders>
          </w:tcPr>
          <w:p w14:paraId="76DB677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VOCs无组织排放废气收集处理系统应满足《挥发性有机物无组织排放控制标准》（GB37822-2019）特别控制要求</w:t>
            </w:r>
            <w:r>
              <w:rPr>
                <w:rFonts w:hint="default" w:ascii="Times New Roman" w:hAnsi="Times New Roman" w:cs="Times New Roman"/>
                <w:b w:val="0"/>
                <w:bCs w:val="0"/>
                <w:spacing w:val="0"/>
                <w:position w:val="0"/>
                <w:sz w:val="21"/>
                <w:szCs w:val="21"/>
                <w:lang w:eastAsia="zh-CN"/>
              </w:rPr>
              <w:t>。</w:t>
            </w:r>
          </w:p>
          <w:p w14:paraId="674C5C2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p>
        </w:tc>
      </w:tr>
      <w:tr w14:paraId="53626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29A9E1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2850" w:type="pct"/>
            <w:gridSpan w:val="2"/>
          </w:tcPr>
          <w:p w14:paraId="04899B6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按生态环境部门要求规范设置废气排放口标志牌、</w:t>
            </w:r>
            <w:r>
              <w:rPr>
                <w:rFonts w:hint="default" w:ascii="Times New Roman" w:hAnsi="Times New Roman" w:cs="Times New Roman"/>
                <w:b w:val="0"/>
                <w:bCs w:val="0"/>
                <w:spacing w:val="0"/>
                <w:position w:val="0"/>
                <w:sz w:val="21"/>
                <w:szCs w:val="21"/>
                <w:lang w:eastAsia="zh-CN"/>
              </w:rPr>
              <w:t>采</w:t>
            </w:r>
            <w:r>
              <w:rPr>
                <w:rFonts w:hint="default" w:ascii="Times New Roman" w:hAnsi="Times New Roman" w:eastAsia="宋体" w:cs="Times New Roman"/>
                <w:b w:val="0"/>
                <w:bCs w:val="0"/>
                <w:spacing w:val="0"/>
                <w:position w:val="0"/>
                <w:sz w:val="21"/>
                <w:szCs w:val="21"/>
              </w:rPr>
              <w:t>样平台、采样孔</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各废气排放口按照排污许可要求开展自行监测；</w:t>
            </w:r>
          </w:p>
          <w:p w14:paraId="0E1055C4">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r>
              <w:rPr>
                <w:rFonts w:hint="default" w:ascii="Times New Roman" w:hAnsi="Times New Roman" w:cs="Times New Roman"/>
                <w:b w:val="0"/>
                <w:bCs w:val="0"/>
                <w:spacing w:val="0"/>
                <w:position w:val="0"/>
                <w:sz w:val="21"/>
                <w:szCs w:val="21"/>
                <w:lang w:eastAsia="zh-CN"/>
              </w:rPr>
              <w:t>；</w:t>
            </w:r>
          </w:p>
          <w:p w14:paraId="59A625DE">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环保治理设施安装DCS</w:t>
            </w:r>
            <w:r>
              <w:rPr>
                <w:rFonts w:hint="eastAsia" w:ascii="Times New Roman" w:hAnsi="Times New Roman" w:cs="Times New Roman"/>
                <w:b w:val="0"/>
                <w:bCs w:val="0"/>
                <w:spacing w:val="7"/>
                <w:sz w:val="21"/>
                <w:szCs w:val="21"/>
                <w:lang w:val="en-US" w:eastAsia="zh-CN"/>
              </w:rPr>
              <w:t>/PLC</w:t>
            </w:r>
            <w:r>
              <w:rPr>
                <w:rFonts w:hint="default" w:ascii="Times New Roman" w:hAnsi="Times New Roman" w:eastAsia="宋体" w:cs="Times New Roman"/>
                <w:b w:val="0"/>
                <w:bCs w:val="0"/>
                <w:spacing w:val="7"/>
                <w:sz w:val="21"/>
                <w:szCs w:val="21"/>
              </w:rPr>
              <w:t>，记录企业环保设施运行</w:t>
            </w:r>
            <w:r>
              <w:rPr>
                <w:rFonts w:hint="eastAsia" w:ascii="Times New Roman" w:hAnsi="Times New Roman" w:cs="Times New Roman"/>
                <w:b w:val="0"/>
                <w:bCs w:val="0"/>
                <w:spacing w:val="7"/>
                <w:sz w:val="21"/>
                <w:szCs w:val="21"/>
                <w:lang w:val="en-US" w:eastAsia="zh-CN"/>
              </w:rPr>
              <w:t>运行的主要参数</w:t>
            </w:r>
            <w:r>
              <w:rPr>
                <w:rFonts w:hint="default" w:ascii="Times New Roman" w:hAnsi="Times New Roman" w:eastAsia="宋体" w:cs="Times New Roman"/>
                <w:b w:val="0"/>
                <w:bCs w:val="0"/>
                <w:spacing w:val="7"/>
                <w:sz w:val="21"/>
                <w:szCs w:val="21"/>
              </w:rPr>
              <w:t>，监控数据至少保存一年。</w:t>
            </w:r>
          </w:p>
          <w:p w14:paraId="1FAC7588">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重点排污单位风量大于10000</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/h的主要排放口安装NMHC在线监测设施（FID检测器）并按要求联网；在线监测</w:t>
            </w:r>
            <w:r>
              <w:rPr>
                <w:rFonts w:hint="default" w:ascii="Times New Roman" w:hAnsi="Times New Roman" w:cs="Times New Roman"/>
                <w:b w:val="0"/>
                <w:bCs w:val="0"/>
                <w:spacing w:val="0"/>
                <w:position w:val="0"/>
                <w:sz w:val="21"/>
                <w:szCs w:val="21"/>
                <w:lang w:val="en-US" w:eastAsia="zh-CN"/>
              </w:rPr>
              <w:t>相关</w:t>
            </w:r>
            <w:r>
              <w:rPr>
                <w:rFonts w:hint="default" w:ascii="Times New Roman" w:hAnsi="Times New Roman" w:eastAsia="宋体" w:cs="Times New Roman"/>
                <w:b w:val="0"/>
                <w:bCs w:val="0"/>
                <w:spacing w:val="0"/>
                <w:position w:val="0"/>
                <w:sz w:val="21"/>
                <w:szCs w:val="21"/>
              </w:rPr>
              <w:t>数据</w:t>
            </w:r>
            <w:r>
              <w:rPr>
                <w:rFonts w:hint="eastAsia" w:ascii="Times New Roman" w:hAnsi="Times New Roman" w:cs="Times New Roman"/>
                <w:b w:val="0"/>
                <w:bCs w:val="0"/>
                <w:spacing w:val="0"/>
                <w:position w:val="0"/>
                <w:sz w:val="21"/>
                <w:szCs w:val="21"/>
                <w:lang w:eastAsia="zh-CN"/>
              </w:rPr>
              <w:t>至少保存最近一年</w:t>
            </w:r>
            <w:r>
              <w:rPr>
                <w:rFonts w:hint="default" w:ascii="Times New Roman" w:hAnsi="Times New Roman" w:eastAsia="宋体" w:cs="Times New Roman"/>
                <w:b w:val="0"/>
                <w:bCs w:val="0"/>
                <w:spacing w:val="0"/>
                <w:position w:val="0"/>
                <w:sz w:val="21"/>
                <w:szCs w:val="21"/>
              </w:rPr>
              <w:t>。（投产或安装时间不满一年以上的企业</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以现有数据为准）；</w:t>
            </w:r>
          </w:p>
          <w:p w14:paraId="4E8A7C3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喷漆房、企业车辆进出大门安装高清视频监控系统，视频监控数据保存6个月以上。</w:t>
            </w:r>
          </w:p>
        </w:tc>
        <w:tc>
          <w:tcPr>
            <w:tcW w:w="897" w:type="pct"/>
            <w:tcBorders>
              <w:right w:val="single" w:color="auto" w:sz="4" w:space="0"/>
            </w:tcBorders>
          </w:tcPr>
          <w:p w14:paraId="1A9B1330">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w:t>
            </w:r>
            <w:r>
              <w:rPr>
                <w:rFonts w:hint="default" w:ascii="Times New Roman" w:hAnsi="Times New Roman" w:eastAsia="宋体" w:cs="Times New Roman"/>
                <w:b w:val="0"/>
                <w:bCs w:val="0"/>
                <w:spacing w:val="0"/>
                <w:position w:val="0"/>
                <w:sz w:val="21"/>
                <w:szCs w:val="21"/>
              </w:rPr>
              <w:t>A、B级要求中1、2、</w:t>
            </w:r>
            <w:r>
              <w:rPr>
                <w:rFonts w:hint="eastAsia"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项</w:t>
            </w:r>
          </w:p>
        </w:tc>
        <w:tc>
          <w:tcPr>
            <w:tcW w:w="894" w:type="pct"/>
            <w:tcBorders>
              <w:right w:val="single" w:color="auto" w:sz="4" w:space="0"/>
            </w:tcBorders>
          </w:tcPr>
          <w:p w14:paraId="16F360B8">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D1D8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31E7DC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267" w:type="pct"/>
          </w:tcPr>
          <w:p w14:paraId="3D1B69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2A104FE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VOCs治理设施去除率达到9</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%及以上；废气去除率确实达不到9</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%的，生产车间或生产设备的无组织排放监控点NMHC任意1h平均浓度低于4mg/m³</w:t>
            </w:r>
            <w:r>
              <w:rPr>
                <w:rFonts w:hint="default" w:ascii="Times New Roman" w:hAnsi="Times New Roman" w:cs="Times New Roman"/>
                <w:b w:val="0"/>
                <w:bCs w:val="0"/>
                <w:spacing w:val="0"/>
                <w:position w:val="0"/>
                <w:sz w:val="21"/>
                <w:szCs w:val="21"/>
                <w:lang w:eastAsia="zh-CN"/>
              </w:rPr>
              <w:t>；</w:t>
            </w:r>
          </w:p>
          <w:p w14:paraId="7E98B7C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企业边界PM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NMHC无组织排放浓度分别不高于1</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tc>
        <w:tc>
          <w:tcPr>
            <w:tcW w:w="1583" w:type="pct"/>
          </w:tcPr>
          <w:p w14:paraId="0F944AA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472FC01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w:t>
            </w:r>
            <w:r>
              <w:rPr>
                <w:rFonts w:hint="default" w:ascii="Times New Roman" w:hAnsi="Times New Roman" w:cs="Times New Roman"/>
                <w:b w:val="0"/>
                <w:bCs w:val="0"/>
                <w:spacing w:val="0"/>
                <w:position w:val="0"/>
                <w:sz w:val="21"/>
                <w:szCs w:val="21"/>
                <w:lang w:val="en-US" w:eastAsia="zh-CN"/>
              </w:rPr>
              <w:t>85</w:t>
            </w:r>
            <w:r>
              <w:rPr>
                <w:rFonts w:hint="default" w:ascii="Times New Roman" w:hAnsi="Times New Roman" w:eastAsia="宋体" w:cs="Times New Roman"/>
                <w:b w:val="0"/>
                <w:bCs w:val="0"/>
                <w:spacing w:val="0"/>
                <w:position w:val="0"/>
                <w:sz w:val="21"/>
                <w:szCs w:val="21"/>
              </w:rPr>
              <w:t>%及以上；废气去除率确实达不到</w:t>
            </w:r>
            <w:r>
              <w:rPr>
                <w:rFonts w:hint="default" w:ascii="Times New Roman" w:hAnsi="Times New Roman" w:cs="Times New Roman"/>
                <w:b w:val="0"/>
                <w:bCs w:val="0"/>
                <w:spacing w:val="0"/>
                <w:position w:val="0"/>
                <w:sz w:val="21"/>
                <w:szCs w:val="21"/>
                <w:lang w:val="en-US" w:eastAsia="zh-CN"/>
              </w:rPr>
              <w:t>85</w:t>
            </w:r>
            <w:r>
              <w:rPr>
                <w:rFonts w:hint="default" w:ascii="Times New Roman" w:hAnsi="Times New Roman" w:eastAsia="宋体" w:cs="Times New Roman"/>
                <w:b w:val="0"/>
                <w:bCs w:val="0"/>
                <w:spacing w:val="0"/>
                <w:position w:val="0"/>
                <w:sz w:val="21"/>
                <w:szCs w:val="21"/>
              </w:rPr>
              <w:t>%的，生产车间或生产设备的无组织排放监控点NMHC任意1h平均浓度低于4mg/m³</w:t>
            </w:r>
            <w:r>
              <w:rPr>
                <w:rFonts w:hint="default" w:ascii="Times New Roman" w:hAnsi="Times New Roman" w:cs="Times New Roman"/>
                <w:b w:val="0"/>
                <w:bCs w:val="0"/>
                <w:spacing w:val="0"/>
                <w:position w:val="0"/>
                <w:sz w:val="21"/>
                <w:szCs w:val="21"/>
                <w:lang w:eastAsia="zh-CN"/>
              </w:rPr>
              <w:t>；</w:t>
            </w:r>
          </w:p>
          <w:p w14:paraId="6336C5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企业边界PM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NMHC无组织排放浓度分别不高于1</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tc>
        <w:tc>
          <w:tcPr>
            <w:tcW w:w="897" w:type="pct"/>
            <w:tcBorders>
              <w:right w:val="single" w:color="auto" w:sz="4" w:space="0"/>
            </w:tcBorders>
          </w:tcPr>
          <w:p w14:paraId="384D51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cs="Times New Roman"/>
                <w:b w:val="0"/>
                <w:bCs w:val="0"/>
                <w:spacing w:val="0"/>
                <w:position w:val="0"/>
                <w:sz w:val="21"/>
                <w:szCs w:val="21"/>
                <w:lang w:val="en-US" w:eastAsia="zh-CN"/>
              </w:rPr>
              <w:t>。</w:t>
            </w:r>
          </w:p>
        </w:tc>
        <w:tc>
          <w:tcPr>
            <w:tcW w:w="894" w:type="pct"/>
            <w:tcBorders>
              <w:right w:val="single" w:color="auto" w:sz="4" w:space="0"/>
            </w:tcBorders>
          </w:tcPr>
          <w:p w14:paraId="369370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40621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restart"/>
            <w:vAlign w:val="center"/>
          </w:tcPr>
          <w:p w14:paraId="20CB6FF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4641" w:type="pct"/>
            <w:gridSpan w:val="4"/>
            <w:tcBorders>
              <w:right w:val="single" w:color="auto" w:sz="4" w:space="0"/>
            </w:tcBorders>
          </w:tcPr>
          <w:p w14:paraId="21DA73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43E0B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continue"/>
            <w:vAlign w:val="center"/>
          </w:tcPr>
          <w:p w14:paraId="2F2F308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2850" w:type="pct"/>
            <w:gridSpan w:val="2"/>
            <w:vAlign w:val="center"/>
          </w:tcPr>
          <w:p w14:paraId="295A482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生产设施运行管理信息（生产时间、运行负荷、产品产量等，必须具备近一年及以上所用涂料的密度、扣水后VOCs含量、含水率（水性涂料）等信息的检测报告）；2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废气污染治理设施运行管理信息（燃烧室温度、</w:t>
            </w:r>
            <w:r>
              <w:rPr>
                <w:rFonts w:hint="default" w:ascii="Times New Roman" w:hAnsi="Times New Roman" w:cs="Times New Roman"/>
                <w:b w:val="0"/>
                <w:bCs w:val="0"/>
                <w:spacing w:val="0"/>
                <w:position w:val="0"/>
                <w:sz w:val="21"/>
                <w:szCs w:val="21"/>
                <w:lang w:val="en-US" w:eastAsia="zh-CN"/>
              </w:rPr>
              <w:t>脱附温度、</w:t>
            </w:r>
            <w:r>
              <w:rPr>
                <w:rFonts w:hint="default" w:ascii="Times New Roman" w:hAnsi="Times New Roman" w:eastAsia="宋体" w:cs="Times New Roman"/>
                <w:b w:val="0"/>
                <w:bCs w:val="0"/>
                <w:spacing w:val="0"/>
                <w:position w:val="0"/>
                <w:sz w:val="21"/>
                <w:szCs w:val="21"/>
              </w:rPr>
              <w:t>冷凝温度、过滤材料更换频次、吸附剂更换频次、催化剂更换频次）；3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监测记录信息（主要污染排放口废气排放记录（手工监测或在线监测）等）；4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燃料（天然气）消耗记录。</w:t>
            </w:r>
          </w:p>
        </w:tc>
        <w:tc>
          <w:tcPr>
            <w:tcW w:w="897" w:type="pct"/>
            <w:tcBorders>
              <w:right w:val="single" w:color="auto" w:sz="4" w:space="0"/>
            </w:tcBorders>
            <w:vAlign w:val="center"/>
          </w:tcPr>
          <w:p w14:paraId="11BE1F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至少符合A、B级要求中1、2、3项</w:t>
            </w:r>
          </w:p>
        </w:tc>
        <w:tc>
          <w:tcPr>
            <w:tcW w:w="894" w:type="pct"/>
            <w:tcBorders>
              <w:right w:val="single" w:color="auto" w:sz="4" w:space="0"/>
            </w:tcBorders>
            <w:vAlign w:val="center"/>
          </w:tcPr>
          <w:p w14:paraId="00E9DB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0F920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continue"/>
            <w:vAlign w:val="center"/>
          </w:tcPr>
          <w:p w14:paraId="4131C98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2850" w:type="pct"/>
            <w:gridSpan w:val="2"/>
            <w:vAlign w:val="center"/>
          </w:tcPr>
          <w:p w14:paraId="6C51809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人员配置：配备专/兼职环保人员，并具备相应的环境管理能力（包括但不限于学历、培训、从业经验等）。</w:t>
            </w:r>
          </w:p>
        </w:tc>
        <w:tc>
          <w:tcPr>
            <w:tcW w:w="1791" w:type="pct"/>
            <w:gridSpan w:val="2"/>
            <w:tcBorders>
              <w:right w:val="single" w:color="auto" w:sz="4" w:space="0"/>
            </w:tcBorders>
            <w:vAlign w:val="center"/>
          </w:tcPr>
          <w:p w14:paraId="7CD9ACD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095B4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5000" w:type="pct"/>
            <w:gridSpan w:val="5"/>
            <w:tcBorders>
              <w:right w:val="single" w:color="auto" w:sz="4" w:space="0"/>
            </w:tcBorders>
            <w:vAlign w:val="center"/>
          </w:tcPr>
          <w:p w14:paraId="7C28C8C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备注：营业面积5000平方米以下且年用非溶剂型低VOCs含量涂料10吨以下的，不需提供环评及验收相关资料。</w:t>
            </w:r>
          </w:p>
        </w:tc>
      </w:tr>
    </w:tbl>
    <w:p w14:paraId="7AFBCA9C">
      <w:pPr>
        <w:bidi w:val="0"/>
        <w:rPr>
          <w:rFonts w:hint="default" w:ascii="Times New Roman" w:hAnsi="Times New Roman" w:cs="Times New Roman"/>
          <w:lang w:eastAsia="zh-CN"/>
        </w:rPr>
      </w:pPr>
      <w:bookmarkStart w:id="59" w:name="_Toc29691"/>
    </w:p>
    <w:p w14:paraId="349673B3">
      <w:pPr>
        <w:bidi w:val="0"/>
        <w:rPr>
          <w:rFonts w:hint="default" w:ascii="Times New Roman" w:hAnsi="Times New Roman" w:cs="Times New Roman"/>
          <w:lang w:eastAsia="zh-C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02D642AA">
      <w:pPr>
        <w:bidi w:val="0"/>
        <w:rPr>
          <w:rFonts w:hint="default" w:ascii="Times New Roman" w:hAnsi="Times New Roman" w:cs="Times New Roman"/>
          <w:lang w:eastAsia="zh-CN"/>
        </w:rPr>
      </w:pPr>
    </w:p>
    <w:p w14:paraId="7E09A883">
      <w:pPr>
        <w:pStyle w:val="3"/>
        <w:keepNext/>
        <w:keepLines/>
        <w:pageBreakBefore w:val="0"/>
        <w:widowControl/>
        <w:kinsoku w:val="0"/>
        <w:wordWrap/>
        <w:overflowPunct/>
        <w:topLinePunct w:val="0"/>
        <w:autoSpaceDE w:val="0"/>
        <w:autoSpaceDN w:val="0"/>
        <w:bidi w:val="0"/>
        <w:adjustRightInd w:val="0"/>
        <w:snapToGrid w:val="0"/>
        <w:spacing w:before="0" w:beforeLines="5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0" w:name="_Toc17251"/>
      <w:r>
        <w:rPr>
          <w:rFonts w:hint="default" w:ascii="Times New Roman" w:hAnsi="Times New Roman" w:eastAsia="楷体" w:cs="Times New Roman"/>
          <w:b/>
          <w:sz w:val="30"/>
          <w:szCs w:val="30"/>
          <w:lang w:eastAsia="zh-CN"/>
        </w:rPr>
        <w:t>（五）减排措施</w:t>
      </w:r>
      <w:bookmarkEnd w:id="59"/>
      <w:bookmarkEnd w:id="60"/>
    </w:p>
    <w:p w14:paraId="7B2EA2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A级</w:t>
      </w:r>
      <w:r>
        <w:rPr>
          <w:rFonts w:hint="default" w:ascii="Times New Roman" w:hAnsi="Times New Roman" w:eastAsia="宋体" w:cs="Times New Roman"/>
          <w:b/>
          <w:bCs/>
          <w:spacing w:val="-2"/>
          <w:sz w:val="28"/>
          <w:szCs w:val="28"/>
          <w:lang w:eastAsia="zh-CN"/>
        </w:rPr>
        <w:t>企业</w:t>
      </w:r>
    </w:p>
    <w:p w14:paraId="47E189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747346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B级企业</w:t>
      </w:r>
    </w:p>
    <w:p w14:paraId="07ABAA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黄色预警期间：自主采取减排措施，确保重污染天气预警期间污染物排放量只降不增。</w:t>
      </w:r>
    </w:p>
    <w:p w14:paraId="038CE9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限产 30%，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374BC4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p>
    <w:p w14:paraId="4FCC73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val="en-US" w:eastAsia="zh-CN"/>
        </w:rPr>
        <w:t>3.</w:t>
      </w:r>
      <w:r>
        <w:rPr>
          <w:rFonts w:hint="default" w:ascii="Times New Roman" w:hAnsi="Times New Roman" w:eastAsia="宋体" w:cs="Times New Roman"/>
          <w:b/>
          <w:bCs/>
          <w:spacing w:val="-2"/>
          <w:sz w:val="28"/>
          <w:szCs w:val="28"/>
          <w:lang w:val="en-US" w:eastAsia="zh-CN"/>
        </w:rPr>
        <w:t>C级企业</w:t>
      </w:r>
    </w:p>
    <w:p w14:paraId="0C4DD4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 xml:space="preserve">限产 </w:t>
      </w:r>
      <w:r>
        <w:rPr>
          <w:rFonts w:hint="default" w:ascii="Times New Roman" w:hAnsi="Times New Roman" w:eastAsia="宋体" w:cs="Times New Roman"/>
          <w:spacing w:val="-2"/>
          <w:sz w:val="28"/>
          <w:szCs w:val="28"/>
          <w:lang w:val="en-US" w:eastAsia="zh-CN"/>
        </w:rPr>
        <w:t>3</w:t>
      </w:r>
      <w:r>
        <w:rPr>
          <w:rFonts w:hint="default" w:ascii="Times New Roman" w:hAnsi="Times New Roman" w:eastAsia="宋体" w:cs="Times New Roman"/>
          <w:spacing w:val="-2"/>
          <w:sz w:val="28"/>
          <w:szCs w:val="28"/>
          <w:lang w:eastAsia="zh-CN"/>
        </w:rPr>
        <w:t>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42FB61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 xml:space="preserve">限产 </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61E6EA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p>
    <w:p w14:paraId="1C709A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D级企业</w:t>
      </w:r>
    </w:p>
    <w:p w14:paraId="20AEF7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r>
        <w:rPr>
          <w:rFonts w:hint="default" w:ascii="Times New Roman" w:hAnsi="Times New Roman" w:eastAsia="宋体" w:cs="Times New Roman"/>
          <w:spacing w:val="-2"/>
          <w:sz w:val="28"/>
          <w:szCs w:val="28"/>
        </w:rPr>
        <w:t>。</w:t>
      </w:r>
    </w:p>
    <w:p w14:paraId="678BD869">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1" w:name="_Toc18701"/>
      <w:bookmarkStart w:id="62" w:name="_Toc30470"/>
      <w:r>
        <w:rPr>
          <w:rFonts w:hint="default" w:ascii="Times New Roman" w:hAnsi="Times New Roman" w:eastAsia="楷体" w:cs="Times New Roman"/>
          <w:b/>
          <w:sz w:val="30"/>
          <w:szCs w:val="30"/>
          <w:lang w:eastAsia="zh-CN"/>
        </w:rPr>
        <w:t>（六）核查方法</w:t>
      </w:r>
      <w:bookmarkEnd w:id="61"/>
      <w:bookmarkEnd w:id="62"/>
    </w:p>
    <w:p w14:paraId="7AE523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7937F5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主要检查企业打磨、调漆、喷涂、烘干等生产工序是否按照预警等级执行应急减排措施要求，检查污染治理设施的运行稳定性。</w:t>
      </w:r>
    </w:p>
    <w:p w14:paraId="406AB4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重点核查喷漆房设施启运记录表；核查企业生产台账记录。</w:t>
      </w:r>
    </w:p>
    <w:p w14:paraId="45ADA299">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63" w:name="bookmark24"/>
      <w:bookmarkEnd w:id="63"/>
      <w:bookmarkStart w:id="64" w:name="_Toc8444"/>
      <w:bookmarkStart w:id="65" w:name="_Toc26293"/>
      <w:r>
        <w:rPr>
          <w:rFonts w:hint="default" w:ascii="Times New Roman" w:hAnsi="Times New Roman" w:cs="Times New Roman"/>
          <w:b/>
          <w:sz w:val="32"/>
          <w:szCs w:val="32"/>
          <w:lang w:val="en-US" w:eastAsia="zh-CN"/>
        </w:rPr>
        <w:t>五、沥青搅拌站</w:t>
      </w:r>
      <w:bookmarkEnd w:id="64"/>
      <w:bookmarkEnd w:id="65"/>
    </w:p>
    <w:p w14:paraId="0D705F06">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6" w:name="_Toc21610"/>
      <w:bookmarkStart w:id="67" w:name="_Toc6680"/>
      <w:r>
        <w:rPr>
          <w:rFonts w:hint="default" w:ascii="Times New Roman" w:hAnsi="Times New Roman" w:eastAsia="楷体" w:cs="Times New Roman"/>
          <w:b/>
          <w:sz w:val="30"/>
          <w:szCs w:val="30"/>
          <w:lang w:eastAsia="zh-CN"/>
        </w:rPr>
        <w:t>（一）适用范围</w:t>
      </w:r>
      <w:bookmarkEnd w:id="66"/>
      <w:bookmarkEnd w:id="67"/>
    </w:p>
    <w:p w14:paraId="36AAC5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沥青混凝土搅拌站，</w:t>
      </w:r>
      <w:r>
        <w:rPr>
          <w:rFonts w:hint="default" w:ascii="Times New Roman" w:hAnsi="Times New Roman" w:eastAsia="宋体" w:cs="Times New Roman"/>
          <w:spacing w:val="-2"/>
          <w:sz w:val="28"/>
          <w:szCs w:val="28"/>
          <w:lang w:val="en-US" w:eastAsia="zh-CN"/>
        </w:rPr>
        <w:t>一般商砼企业执行国家指南中水泥制品</w:t>
      </w:r>
      <w:r>
        <w:rPr>
          <w:rFonts w:hint="eastAsia" w:ascii="Times New Roman" w:hAnsi="Times New Roman" w:eastAsia="宋体" w:cs="Times New Roman"/>
          <w:spacing w:val="-2"/>
          <w:sz w:val="28"/>
          <w:szCs w:val="28"/>
          <w:lang w:val="en-US" w:eastAsia="zh-CN"/>
        </w:rPr>
        <w:t>行业</w:t>
      </w:r>
      <w:r>
        <w:rPr>
          <w:rFonts w:hint="default" w:ascii="Times New Roman" w:hAnsi="Times New Roman" w:eastAsia="宋体" w:cs="Times New Roman"/>
          <w:spacing w:val="-2"/>
          <w:sz w:val="28"/>
          <w:szCs w:val="28"/>
          <w:lang w:val="en-US" w:eastAsia="zh-CN"/>
        </w:rPr>
        <w:t>绩效引领性指标</w:t>
      </w:r>
      <w:r>
        <w:rPr>
          <w:rFonts w:hint="default" w:ascii="Times New Roman" w:hAnsi="Times New Roman" w:eastAsia="宋体" w:cs="Times New Roman"/>
          <w:spacing w:val="-2"/>
          <w:sz w:val="28"/>
          <w:szCs w:val="28"/>
          <w:lang w:eastAsia="zh-CN"/>
        </w:rPr>
        <w:t>。</w:t>
      </w:r>
    </w:p>
    <w:p w14:paraId="2A898F1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8" w:name="_Toc26201"/>
      <w:bookmarkStart w:id="69" w:name="_Toc29195"/>
      <w:r>
        <w:rPr>
          <w:rFonts w:hint="default" w:ascii="Times New Roman" w:hAnsi="Times New Roman" w:eastAsia="楷体" w:cs="Times New Roman"/>
          <w:b/>
          <w:sz w:val="30"/>
          <w:szCs w:val="30"/>
          <w:lang w:eastAsia="zh-CN"/>
        </w:rPr>
        <w:t>（二）生产工艺</w:t>
      </w:r>
      <w:bookmarkEnd w:id="68"/>
      <w:bookmarkEnd w:id="69"/>
    </w:p>
    <w:p w14:paraId="5F6AD85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主要生产工艺：</w:t>
      </w:r>
      <w:r>
        <w:rPr>
          <w:rFonts w:hint="default" w:ascii="Times New Roman" w:hAnsi="Times New Roman" w:eastAsia="宋体" w:cs="Times New Roman"/>
          <w:spacing w:val="-2"/>
          <w:sz w:val="28"/>
          <w:szCs w:val="28"/>
          <w:lang w:eastAsia="zh-CN"/>
        </w:rPr>
        <w:t>配料、加热、搅拌、出料等。</w:t>
      </w:r>
    </w:p>
    <w:p w14:paraId="751404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主要原辅材料：</w:t>
      </w:r>
      <w:r>
        <w:rPr>
          <w:rFonts w:hint="default" w:ascii="Times New Roman" w:hAnsi="Times New Roman" w:eastAsia="宋体" w:cs="Times New Roman"/>
          <w:spacing w:val="-2"/>
          <w:sz w:val="28"/>
          <w:szCs w:val="28"/>
          <w:lang w:eastAsia="zh-CN"/>
        </w:rPr>
        <w:t>水泥、沥青、石灰、石膏、石子、砂子、石粉、粉煤灰、矿粉等。</w:t>
      </w:r>
    </w:p>
    <w:p w14:paraId="0D546A7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主要能源：</w:t>
      </w:r>
      <w:r>
        <w:rPr>
          <w:rFonts w:hint="default" w:ascii="Times New Roman" w:hAnsi="Times New Roman" w:eastAsia="宋体" w:cs="Times New Roman"/>
          <w:spacing w:val="-2"/>
          <w:sz w:val="28"/>
          <w:szCs w:val="28"/>
          <w:lang w:eastAsia="zh-CN"/>
        </w:rPr>
        <w:t>天然气、电等。</w:t>
      </w:r>
    </w:p>
    <w:p w14:paraId="0F458054">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70" w:name="_Toc11090"/>
      <w:bookmarkStart w:id="71" w:name="_Toc3661"/>
      <w:r>
        <w:rPr>
          <w:rFonts w:hint="default" w:ascii="Times New Roman" w:hAnsi="Times New Roman" w:eastAsia="楷体" w:cs="Times New Roman"/>
          <w:b/>
          <w:sz w:val="30"/>
          <w:szCs w:val="30"/>
          <w:lang w:eastAsia="zh-CN"/>
        </w:rPr>
        <w:t>（三）主要污染物产排环节</w:t>
      </w:r>
      <w:bookmarkEnd w:id="70"/>
      <w:bookmarkEnd w:id="71"/>
    </w:p>
    <w:p w14:paraId="4087AC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PM：</w:t>
      </w:r>
      <w:r>
        <w:rPr>
          <w:rFonts w:hint="default" w:ascii="Times New Roman" w:hAnsi="Times New Roman" w:eastAsia="宋体" w:cs="Times New Roman"/>
          <w:spacing w:val="-2"/>
          <w:sz w:val="28"/>
          <w:szCs w:val="28"/>
          <w:lang w:eastAsia="zh-CN"/>
        </w:rPr>
        <w:t>主要来自上料、输送、石子（砂子）烘干加热、筛分、配料、混合搅拌过程以及厂内锅炉燃料燃烧产生。</w:t>
      </w:r>
    </w:p>
    <w:p w14:paraId="76B998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VOCs：</w:t>
      </w:r>
      <w:r>
        <w:rPr>
          <w:rFonts w:hint="default" w:ascii="Times New Roman" w:hAnsi="Times New Roman" w:eastAsia="宋体" w:cs="Times New Roman"/>
          <w:spacing w:val="-2"/>
          <w:sz w:val="28"/>
          <w:szCs w:val="28"/>
          <w:lang w:eastAsia="zh-CN"/>
        </w:rPr>
        <w:t>主要来自沥青加热、保温、热储过程。</w:t>
      </w:r>
    </w:p>
    <w:p w14:paraId="515608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沥青烟：</w:t>
      </w:r>
      <w:r>
        <w:rPr>
          <w:rFonts w:hint="default" w:ascii="Times New Roman" w:hAnsi="Times New Roman" w:eastAsia="宋体" w:cs="Times New Roman"/>
          <w:spacing w:val="-2"/>
          <w:sz w:val="28"/>
          <w:szCs w:val="28"/>
          <w:lang w:eastAsia="zh-CN"/>
        </w:rPr>
        <w:t>主要来自沥青、石子混合搅拌以及装车过程。</w:t>
      </w:r>
    </w:p>
    <w:p w14:paraId="1A48F7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楷体" w:cs="Times New Roman"/>
          <w:b/>
          <w:sz w:val="30"/>
          <w:szCs w:val="30"/>
          <w:lang w:eastAsia="zh-CN"/>
        </w:rPr>
        <w:sectPr>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imes New Roman" w:hAnsi="Times New Roman" w:eastAsia="宋体" w:cs="Times New Roman"/>
          <w:b/>
          <w:bCs/>
          <w:spacing w:val="-2"/>
          <w:sz w:val="28"/>
          <w:szCs w:val="28"/>
          <w:lang w:eastAsia="zh-CN"/>
        </w:rPr>
        <w:t>二氧化硫（SO</w:t>
      </w:r>
      <w:r>
        <w:rPr>
          <w:rFonts w:hint="default" w:ascii="Times New Roman" w:hAnsi="Times New Roman" w:eastAsia="宋体" w:cs="Times New Roman"/>
          <w:b/>
          <w:bCs/>
          <w:spacing w:val="-2"/>
          <w:sz w:val="28"/>
          <w:szCs w:val="28"/>
          <w:vertAlign w:val="subscript"/>
          <w:lang w:eastAsia="zh-CN"/>
        </w:rPr>
        <w:t>2</w:t>
      </w:r>
      <w:r>
        <w:rPr>
          <w:rFonts w:hint="default" w:ascii="Times New Roman" w:hAnsi="Times New Roman" w:eastAsia="宋体" w:cs="Times New Roman"/>
          <w:b/>
          <w:bCs/>
          <w:spacing w:val="-2"/>
          <w:sz w:val="28"/>
          <w:szCs w:val="28"/>
          <w:lang w:eastAsia="zh-CN"/>
        </w:rPr>
        <w:t>）、氮氧化物（NOx）：</w:t>
      </w:r>
      <w:r>
        <w:rPr>
          <w:rFonts w:hint="default" w:ascii="Times New Roman" w:hAnsi="Times New Roman" w:eastAsia="宋体" w:cs="Times New Roman"/>
          <w:spacing w:val="-2"/>
          <w:sz w:val="28"/>
          <w:szCs w:val="28"/>
          <w:lang w:eastAsia="zh-CN"/>
        </w:rPr>
        <w:t>主要来自厂内锅炉（导热油炉）燃料燃烧产生。</w:t>
      </w:r>
    </w:p>
    <w:p w14:paraId="046C79FE">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lang w:eastAsia="zh-CN"/>
        </w:rPr>
      </w:pPr>
      <w:bookmarkStart w:id="72" w:name="_Toc7651"/>
      <w:bookmarkStart w:id="73" w:name="_Toc11722"/>
      <w:r>
        <w:rPr>
          <w:rFonts w:hint="default" w:ascii="Times New Roman" w:hAnsi="Times New Roman" w:eastAsia="楷体" w:cs="Times New Roman"/>
          <w:b/>
          <w:sz w:val="30"/>
          <w:szCs w:val="30"/>
          <w:lang w:eastAsia="zh-CN"/>
        </w:rPr>
        <w:t>（四）绩效分级指标</w:t>
      </w:r>
      <w:bookmarkEnd w:id="72"/>
      <w:bookmarkEnd w:id="73"/>
    </w:p>
    <w:p w14:paraId="71F545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商砼（沥青）搅拌站企业绩效分级指标</w:t>
      </w:r>
    </w:p>
    <w:p w14:paraId="14993A1E">
      <w:pPr>
        <w:spacing w:line="94" w:lineRule="exact"/>
        <w:rPr>
          <w:rFonts w:hint="default" w:ascii="Times New Roman" w:hAnsi="Times New Roman" w:cs="Times New Roman"/>
        </w:rPr>
      </w:pPr>
    </w:p>
    <w:tbl>
      <w:tblPr>
        <w:tblStyle w:val="12"/>
        <w:tblW w:w="501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1443"/>
        <w:gridCol w:w="1"/>
        <w:gridCol w:w="4719"/>
        <w:gridCol w:w="4"/>
        <w:gridCol w:w="4122"/>
        <w:gridCol w:w="7"/>
        <w:gridCol w:w="2575"/>
        <w:gridCol w:w="9"/>
        <w:gridCol w:w="1124"/>
        <w:gridCol w:w="10"/>
      </w:tblGrid>
      <w:tr w14:paraId="15C346D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blHeader/>
        </w:trPr>
        <w:tc>
          <w:tcPr>
            <w:tcW w:w="1518" w:type="dxa"/>
            <w:tcBorders>
              <w:tl2br w:val="nil"/>
              <w:tr2bl w:val="nil"/>
            </w:tcBorders>
            <w:vAlign w:val="center"/>
          </w:tcPr>
          <w:p w14:paraId="37402DF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差异化指标</w:t>
            </w:r>
          </w:p>
        </w:tc>
        <w:tc>
          <w:tcPr>
            <w:tcW w:w="4967" w:type="dxa"/>
            <w:gridSpan w:val="2"/>
            <w:tcBorders>
              <w:tl2br w:val="nil"/>
              <w:tr2bl w:val="nil"/>
            </w:tcBorders>
            <w:vAlign w:val="center"/>
          </w:tcPr>
          <w:p w14:paraId="54082AB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A级企业</w:t>
            </w:r>
          </w:p>
        </w:tc>
        <w:tc>
          <w:tcPr>
            <w:tcW w:w="4342" w:type="dxa"/>
            <w:gridSpan w:val="2"/>
            <w:tcBorders>
              <w:tl2br w:val="nil"/>
              <w:tr2bl w:val="nil"/>
            </w:tcBorders>
            <w:vAlign w:val="center"/>
          </w:tcPr>
          <w:p w14:paraId="173367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B级企业</w:t>
            </w:r>
          </w:p>
        </w:tc>
        <w:tc>
          <w:tcPr>
            <w:tcW w:w="2718" w:type="dxa"/>
            <w:gridSpan w:val="2"/>
            <w:tcBorders>
              <w:tl2br w:val="nil"/>
              <w:tr2bl w:val="nil"/>
            </w:tcBorders>
            <w:vAlign w:val="center"/>
          </w:tcPr>
          <w:p w14:paraId="7A423B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C级企业</w:t>
            </w:r>
          </w:p>
        </w:tc>
        <w:tc>
          <w:tcPr>
            <w:tcW w:w="1192" w:type="dxa"/>
            <w:gridSpan w:val="2"/>
            <w:tcBorders>
              <w:tl2br w:val="nil"/>
              <w:tr2bl w:val="nil"/>
            </w:tcBorders>
            <w:vAlign w:val="center"/>
          </w:tcPr>
          <w:p w14:paraId="34ED423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3EFB2D6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2F25990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能源类型</w:t>
            </w:r>
          </w:p>
        </w:tc>
        <w:tc>
          <w:tcPr>
            <w:tcW w:w="9309" w:type="dxa"/>
            <w:gridSpan w:val="4"/>
            <w:tcBorders>
              <w:tl2br w:val="nil"/>
              <w:tr2bl w:val="nil"/>
            </w:tcBorders>
            <w:vAlign w:val="center"/>
          </w:tcPr>
          <w:p w14:paraId="2E2360F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使用电、天然气等能源</w:t>
            </w:r>
            <w:r>
              <w:rPr>
                <w:rFonts w:hint="default" w:ascii="Times New Roman" w:hAnsi="Times New Roman" w:cs="Times New Roman"/>
                <w:b w:val="0"/>
                <w:bCs w:val="0"/>
                <w:spacing w:val="0"/>
                <w:position w:val="0"/>
                <w:sz w:val="21"/>
                <w:szCs w:val="21"/>
                <w:lang w:eastAsia="zh-CN"/>
              </w:rPr>
              <w:t>。</w:t>
            </w:r>
          </w:p>
        </w:tc>
        <w:tc>
          <w:tcPr>
            <w:tcW w:w="3910" w:type="dxa"/>
            <w:gridSpan w:val="4"/>
            <w:tcBorders>
              <w:tl2br w:val="nil"/>
              <w:tr2bl w:val="nil"/>
            </w:tcBorders>
            <w:vAlign w:val="center"/>
          </w:tcPr>
          <w:p w14:paraId="40B0647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未达到B级要求</w:t>
            </w:r>
            <w:r>
              <w:rPr>
                <w:rFonts w:hint="default" w:ascii="Times New Roman" w:hAnsi="Times New Roman" w:cs="Times New Roman"/>
                <w:b w:val="0"/>
                <w:bCs w:val="0"/>
                <w:spacing w:val="0"/>
                <w:position w:val="0"/>
                <w:sz w:val="21"/>
                <w:szCs w:val="21"/>
                <w:lang w:eastAsia="zh-CN"/>
              </w:rPr>
              <w:t>。</w:t>
            </w:r>
          </w:p>
        </w:tc>
      </w:tr>
      <w:tr w14:paraId="1485C0A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5E940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生产工艺及</w:t>
            </w:r>
          </w:p>
          <w:p w14:paraId="2A11A20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装备水平</w:t>
            </w:r>
          </w:p>
        </w:tc>
        <w:tc>
          <w:tcPr>
            <w:tcW w:w="12027" w:type="dxa"/>
            <w:gridSpan w:val="6"/>
            <w:tcBorders>
              <w:tl2br w:val="nil"/>
              <w:tr2bl w:val="nil"/>
            </w:tcBorders>
            <w:vAlign w:val="center"/>
          </w:tcPr>
          <w:p w14:paraId="266DB0A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属于《产业结构调整指导目录（2024年版）》鼓励类和允许类；2</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符合相关行业产业政策；3</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w:t>
            </w:r>
            <w:r>
              <w:rPr>
                <w:rFonts w:hint="default" w:ascii="Times New Roman" w:hAnsi="Times New Roman" w:cs="Times New Roman"/>
                <w:b w:val="0"/>
                <w:bCs w:val="0"/>
                <w:spacing w:val="0"/>
                <w:position w:val="0"/>
                <w:sz w:val="21"/>
                <w:szCs w:val="21"/>
                <w:lang w:val="en-US" w:eastAsia="zh-CN"/>
              </w:rPr>
              <w:t>湖北省</w:t>
            </w:r>
            <w:r>
              <w:rPr>
                <w:rFonts w:hint="default" w:ascii="Times New Roman" w:hAnsi="Times New Roman" w:eastAsia="宋体" w:cs="Times New Roman"/>
                <w:b w:val="0"/>
                <w:bCs w:val="0"/>
                <w:spacing w:val="0"/>
                <w:position w:val="0"/>
                <w:sz w:val="21"/>
                <w:szCs w:val="21"/>
              </w:rPr>
              <w:t>相关政策要求；4</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符合市级规划。</w:t>
            </w:r>
          </w:p>
        </w:tc>
        <w:tc>
          <w:tcPr>
            <w:tcW w:w="1192" w:type="dxa"/>
            <w:gridSpan w:val="2"/>
            <w:tcBorders>
              <w:tl2br w:val="nil"/>
              <w:tr2bl w:val="nil"/>
            </w:tcBorders>
            <w:vAlign w:val="center"/>
          </w:tcPr>
          <w:p w14:paraId="5F83FDE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C2A35C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6BC9E9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污染治理</w:t>
            </w:r>
          </w:p>
          <w:p w14:paraId="7189443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技术</w:t>
            </w:r>
          </w:p>
        </w:tc>
        <w:tc>
          <w:tcPr>
            <w:tcW w:w="4967" w:type="dxa"/>
            <w:gridSpan w:val="2"/>
            <w:tcBorders>
              <w:tl2br w:val="nil"/>
              <w:tr2bl w:val="nil"/>
            </w:tcBorders>
            <w:vAlign w:val="center"/>
          </w:tcPr>
          <w:p w14:paraId="7136C79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沥青烟、PM治理采用覆膜袋式除尘器、滤筒除尘器、湿电除尘等除尘技术（除湿电除尘外，设计效率不低于</w:t>
            </w:r>
            <w:r>
              <w:rPr>
                <w:rFonts w:hint="eastAsia" w:ascii="Times New Roman" w:hAnsi="Times New Roman" w:cs="Times New Roman"/>
                <w:b w:val="0"/>
                <w:bCs w:val="0"/>
                <w:spacing w:val="0"/>
                <w:position w:val="0"/>
                <w:sz w:val="21"/>
                <w:szCs w:val="21"/>
                <w:lang w:eastAsia="zh-CN"/>
              </w:rPr>
              <w:t>99%</w:t>
            </w:r>
            <w:r>
              <w:rPr>
                <w:rFonts w:hint="default" w:ascii="Times New Roman" w:hAnsi="Times New Roman" w:eastAsia="宋体" w:cs="Times New Roman"/>
                <w:b w:val="0"/>
                <w:bCs w:val="0"/>
                <w:spacing w:val="0"/>
                <w:position w:val="0"/>
                <w:sz w:val="21"/>
                <w:szCs w:val="21"/>
              </w:rPr>
              <w:t>）；</w:t>
            </w:r>
          </w:p>
          <w:p w14:paraId="3971373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对排放的VOCs进行全面收集，经去除PM（沥青烟）后，采用燃烧工艺进行处理或引至锅炉燃烧处理</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处理效率≥95%</w:t>
            </w:r>
            <w:r>
              <w:rPr>
                <w:rFonts w:hint="default" w:ascii="Times New Roman" w:hAnsi="Times New Roman" w:eastAsia="宋体" w:cs="Times New Roman"/>
                <w:b w:val="0"/>
                <w:bCs w:val="0"/>
                <w:spacing w:val="0"/>
                <w:position w:val="0"/>
                <w:sz w:val="21"/>
                <w:szCs w:val="21"/>
              </w:rPr>
              <w:t>；</w:t>
            </w:r>
          </w:p>
          <w:p w14:paraId="3BE333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沥青槽及沥青储罐排气经密闭收集后，经去除PM（沥青烟）后，采用燃烧工艺进行处理或引至锅炉燃烧处理；</w:t>
            </w:r>
          </w:p>
          <w:p w14:paraId="56D3648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燃气锅炉（导热油炉）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w:t>
            </w:r>
            <w:r>
              <w:rPr>
                <w:rFonts w:hint="eastAsia" w:ascii="Times New Roman" w:hAnsi="Times New Roman" w:cs="Times New Roman"/>
                <w:b w:val="0"/>
                <w:bCs w:val="0"/>
                <w:spacing w:val="6"/>
                <w:sz w:val="21"/>
                <w:szCs w:val="21"/>
                <w:lang w:val="en-US" w:eastAsia="zh-CN"/>
              </w:rPr>
              <w:t>涉及</w:t>
            </w:r>
            <w:r>
              <w:rPr>
                <w:rFonts w:hint="default" w:ascii="Times New Roman" w:hAnsi="Times New Roman" w:eastAsia="宋体" w:cs="Times New Roman"/>
                <w:b w:val="0"/>
                <w:bCs w:val="0"/>
                <w:spacing w:val="6"/>
                <w:sz w:val="21"/>
                <w:szCs w:val="21"/>
                <w:lang w:val="en-US" w:eastAsia="zh-CN"/>
              </w:rPr>
              <w:t>锅炉/炉窑企业</w:t>
            </w:r>
            <w:r>
              <w:rPr>
                <w:rFonts w:hint="default" w:ascii="Times New Roman" w:hAnsi="Times New Roman" w:cs="Times New Roman"/>
                <w:b w:val="0"/>
                <w:bCs w:val="0"/>
                <w:spacing w:val="6"/>
                <w:sz w:val="21"/>
                <w:szCs w:val="21"/>
                <w:lang w:val="en-US" w:eastAsia="zh-CN"/>
              </w:rPr>
              <w:t>相应绩效分级指标</w:t>
            </w:r>
          </w:p>
        </w:tc>
        <w:tc>
          <w:tcPr>
            <w:tcW w:w="4342" w:type="dxa"/>
            <w:gridSpan w:val="2"/>
            <w:tcBorders>
              <w:tl2br w:val="nil"/>
              <w:tr2bl w:val="nil"/>
            </w:tcBorders>
            <w:vAlign w:val="center"/>
          </w:tcPr>
          <w:p w14:paraId="1FCBD99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沥青烟、PM治理采用袋式除尘器、静电除尘等除尘技术；</w:t>
            </w:r>
          </w:p>
          <w:p w14:paraId="5633D07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对排放的VOCs进行全面收集，治理采用吸附浓缩+燃烧、燃烧工艺，或活性炭吸附、焦油捕集器等组合工艺</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处理效率≥85%</w:t>
            </w:r>
            <w:r>
              <w:rPr>
                <w:rFonts w:hint="default" w:ascii="Times New Roman" w:hAnsi="Times New Roman" w:cs="Times New Roman"/>
                <w:b w:val="0"/>
                <w:bCs w:val="0"/>
                <w:spacing w:val="0"/>
                <w:position w:val="0"/>
                <w:sz w:val="21"/>
                <w:szCs w:val="21"/>
                <w:lang w:eastAsia="zh-CN"/>
              </w:rPr>
              <w:t>；</w:t>
            </w:r>
          </w:p>
          <w:p w14:paraId="08B463D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沥青槽及沥青储罐采用活性炭吸附等处理工艺；</w:t>
            </w:r>
          </w:p>
          <w:p w14:paraId="466149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同A级第4条要求。</w:t>
            </w:r>
          </w:p>
        </w:tc>
        <w:tc>
          <w:tcPr>
            <w:tcW w:w="2718" w:type="dxa"/>
            <w:gridSpan w:val="2"/>
            <w:tcBorders>
              <w:tl2br w:val="nil"/>
              <w:tr2bl w:val="nil"/>
            </w:tcBorders>
            <w:vAlign w:val="center"/>
          </w:tcPr>
          <w:p w14:paraId="6EEAAD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同B级第1条要求；</w:t>
            </w:r>
          </w:p>
          <w:p w14:paraId="52950EB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对排放的VOCs进行收集治理</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处理效率≥80%</w:t>
            </w:r>
            <w:r>
              <w:rPr>
                <w:rFonts w:hint="default" w:ascii="Times New Roman" w:hAnsi="Times New Roman" w:cs="Times New Roman"/>
                <w:b w:val="0"/>
                <w:bCs w:val="0"/>
                <w:spacing w:val="0"/>
                <w:position w:val="0"/>
                <w:sz w:val="21"/>
                <w:szCs w:val="21"/>
                <w:lang w:eastAsia="zh-CN"/>
              </w:rPr>
              <w:t>；</w:t>
            </w:r>
          </w:p>
          <w:p w14:paraId="158807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同B级第3条要求；</w:t>
            </w:r>
          </w:p>
          <w:p w14:paraId="06D209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同A级第4条要求</w:t>
            </w:r>
          </w:p>
          <w:p w14:paraId="2AC057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p>
        </w:tc>
        <w:tc>
          <w:tcPr>
            <w:tcW w:w="1192" w:type="dxa"/>
            <w:gridSpan w:val="2"/>
            <w:tcBorders>
              <w:tl2br w:val="nil"/>
              <w:tr2bl w:val="nil"/>
            </w:tcBorders>
            <w:vAlign w:val="center"/>
          </w:tcPr>
          <w:p w14:paraId="2F7372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917BBD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restart"/>
            <w:tcBorders>
              <w:tl2br w:val="nil"/>
              <w:tr2bl w:val="nil"/>
            </w:tcBorders>
            <w:vAlign w:val="center"/>
          </w:tcPr>
          <w:p w14:paraId="3267ABA0">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p w14:paraId="36F8DD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无组织管控</w:t>
            </w:r>
          </w:p>
        </w:tc>
        <w:tc>
          <w:tcPr>
            <w:tcW w:w="9309" w:type="dxa"/>
            <w:gridSpan w:val="4"/>
            <w:tcBorders>
              <w:tl2br w:val="nil"/>
              <w:tr2bl w:val="nil"/>
            </w:tcBorders>
            <w:vAlign w:val="center"/>
          </w:tcPr>
          <w:p w14:paraId="03F6D5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粉状物料采用料仓、储罐等方式密闭储存；粒状物料采用料仓、储罐等方式密闭储存或采用堆棚封闭储存；块状物料采用堆棚封闭储存；沥青储罐呼吸孔安装VOCs收集处理设施；</w:t>
            </w:r>
          </w:p>
          <w:p w14:paraId="2E8A586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所有散状物料运输采用密闭皮带、密闭通廊、管状带式输送机或密闭车厢、真空罐车、气力输送等密闭方式；沥青运输、储存、装卸、加热、改性等过程密闭，沥青采用密闭管道输送投加，配备沥青加料自动联锁系统；</w:t>
            </w:r>
          </w:p>
          <w:p w14:paraId="4FF688E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各物料破碎、搅拌、转载、下料口、卸料装车等设置集尘罩并配置袋式除尘器，库顶等泄压口配备袋式除尘器或滤筒除尘器；搅拌机皮带跌落点等产尘点配套抽风收尘及除尘装置，不得有明显粉尘逸散；卸沥青槽密闭，沥青槽及沥青储罐废气负压引至废气收集处理系统；</w:t>
            </w:r>
          </w:p>
          <w:p w14:paraId="7541FAF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沥青砼搅拌（</w:t>
            </w:r>
            <w:r>
              <w:rPr>
                <w:rFonts w:hint="default" w:ascii="Times New Roman" w:hAnsi="Times New Roman" w:cs="Times New Roman"/>
                <w:b w:val="0"/>
                <w:bCs w:val="0"/>
                <w:spacing w:val="0"/>
                <w:position w:val="0"/>
                <w:sz w:val="21"/>
                <w:szCs w:val="21"/>
                <w:lang w:eastAsia="zh-CN"/>
              </w:rPr>
              <w:t>拌合</w:t>
            </w:r>
            <w:r>
              <w:rPr>
                <w:rFonts w:hint="default" w:ascii="Times New Roman" w:hAnsi="Times New Roman" w:eastAsia="宋体" w:cs="Times New Roman"/>
                <w:b w:val="0"/>
                <w:bCs w:val="0"/>
                <w:spacing w:val="0"/>
                <w:position w:val="0"/>
                <w:sz w:val="21"/>
                <w:szCs w:val="21"/>
              </w:rPr>
              <w:t>）楼需二次封闭并将粉料储罐封闭在内，沥青砼搅拌机、搅拌楼配套安装沥青烟气收集及处理设施；沥青砼成品装车处封闭，配套安装沥青烟气收集及处理设施；</w:t>
            </w:r>
          </w:p>
          <w:p w14:paraId="02F939B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5.</w:t>
            </w:r>
            <w:r>
              <w:rPr>
                <w:rFonts w:hint="default" w:ascii="Times New Roman" w:hAnsi="Times New Roman" w:eastAsia="宋体" w:cs="Times New Roman"/>
                <w:b w:val="0"/>
                <w:bCs w:val="0"/>
                <w:spacing w:val="0"/>
                <w:position w:val="0"/>
                <w:sz w:val="21"/>
                <w:szCs w:val="21"/>
              </w:rPr>
              <w:t>除尘器设卸灰锁风装置，除尘灰密闭输送返回生产工序；无法实现返回的，应设置密闭灰仓</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采用封闭袋接或封闭式螺旋输送，卸灰区封闭；不得直接卸落地面造成二次扬尘；</w:t>
            </w:r>
          </w:p>
          <w:p w14:paraId="6E4C795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6.</w:t>
            </w:r>
            <w:r>
              <w:rPr>
                <w:rFonts w:hint="default" w:ascii="Times New Roman" w:hAnsi="Times New Roman" w:eastAsia="宋体" w:cs="Times New Roman"/>
                <w:b w:val="0"/>
                <w:bCs w:val="0"/>
                <w:spacing w:val="0"/>
                <w:position w:val="0"/>
                <w:sz w:val="21"/>
                <w:szCs w:val="21"/>
              </w:rPr>
              <w:t>料棚配备喷雾抑尘设施，货物进出大门为自动感应门，在确保安全的情况下，所有门窗保持常闭状态；</w:t>
            </w:r>
          </w:p>
          <w:p w14:paraId="17624D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7.</w:t>
            </w:r>
            <w:r>
              <w:rPr>
                <w:rFonts w:hint="default" w:ascii="Times New Roman" w:hAnsi="Times New Roman" w:eastAsia="宋体" w:cs="Times New Roman"/>
                <w:b w:val="0"/>
                <w:bCs w:val="0"/>
                <w:spacing w:val="0"/>
                <w:position w:val="0"/>
                <w:sz w:val="21"/>
                <w:szCs w:val="21"/>
              </w:rPr>
              <w:t>厂区地面全部硬化或绿化，无成片裸露土地；</w:t>
            </w:r>
          </w:p>
          <w:p w14:paraId="39F428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8.</w:t>
            </w:r>
            <w:r>
              <w:rPr>
                <w:rFonts w:hint="default" w:ascii="Times New Roman" w:hAnsi="Times New Roman" w:eastAsia="宋体" w:cs="Times New Roman"/>
                <w:b w:val="0"/>
                <w:bCs w:val="0"/>
                <w:spacing w:val="0"/>
                <w:position w:val="0"/>
                <w:sz w:val="21"/>
                <w:szCs w:val="21"/>
              </w:rPr>
              <w:t>沥青搅拌站贮存易产生粉尘、VOCs</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有毒有害大气污染物和异味的危险废物贮存库，设有废气收集装置和处理设施，废气处理设施的排气筒高度不低于15m。</w:t>
            </w:r>
          </w:p>
        </w:tc>
        <w:tc>
          <w:tcPr>
            <w:tcW w:w="2718" w:type="dxa"/>
            <w:gridSpan w:val="2"/>
            <w:tcBorders>
              <w:tl2br w:val="nil"/>
              <w:tr2bl w:val="nil"/>
            </w:tcBorders>
            <w:vAlign w:val="center"/>
          </w:tcPr>
          <w:p w14:paraId="4875741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rPr>
            </w:pPr>
            <w:r>
              <w:rPr>
                <w:rFonts w:hint="default" w:ascii="Times New Roman" w:hAnsi="Times New Roman" w:cs="Times New Roman"/>
                <w:b w:val="0"/>
                <w:bCs w:val="0"/>
                <w:spacing w:val="0"/>
                <w:position w:val="0"/>
                <w:sz w:val="21"/>
                <w:szCs w:val="21"/>
                <w:lang w:val="en-US" w:eastAsia="zh-CN"/>
              </w:rPr>
              <w:t>至少达</w:t>
            </w:r>
            <w:r>
              <w:rPr>
                <w:rFonts w:hint="default" w:ascii="Times New Roman" w:hAnsi="Times New Roman" w:eastAsia="宋体" w:cs="Times New Roman"/>
                <w:b w:val="0"/>
                <w:bCs w:val="0"/>
                <w:spacing w:val="0"/>
                <w:position w:val="0"/>
                <w:sz w:val="21"/>
                <w:szCs w:val="21"/>
              </w:rPr>
              <w:t>到A级</w:t>
            </w:r>
            <w:r>
              <w:rPr>
                <w:rFonts w:hint="default" w:ascii="Times New Roman" w:hAnsi="Times New Roman" w:cs="Times New Roman"/>
                <w:b w:val="0"/>
                <w:bCs w:val="0"/>
                <w:spacing w:val="0"/>
                <w:position w:val="0"/>
                <w:sz w:val="21"/>
                <w:szCs w:val="21"/>
                <w:lang w:val="en-US" w:eastAsia="zh-CN"/>
              </w:rPr>
              <w:t>要求中1、3、5项</w:t>
            </w:r>
          </w:p>
        </w:tc>
        <w:tc>
          <w:tcPr>
            <w:tcW w:w="1192" w:type="dxa"/>
            <w:gridSpan w:val="2"/>
            <w:tcBorders>
              <w:tl2br w:val="nil"/>
              <w:tr2bl w:val="nil"/>
            </w:tcBorders>
            <w:vAlign w:val="center"/>
          </w:tcPr>
          <w:p w14:paraId="7C9923D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2CF14F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continue"/>
            <w:tcBorders>
              <w:tl2br w:val="nil"/>
              <w:tr2bl w:val="nil"/>
            </w:tcBorders>
            <w:vAlign w:val="center"/>
          </w:tcPr>
          <w:p w14:paraId="6E54270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4967" w:type="dxa"/>
            <w:gridSpan w:val="2"/>
            <w:tcBorders>
              <w:tl2br w:val="nil"/>
              <w:tr2bl w:val="nil"/>
            </w:tcBorders>
            <w:vAlign w:val="center"/>
          </w:tcPr>
          <w:p w14:paraId="58A1E95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9.</w:t>
            </w:r>
            <w:r>
              <w:rPr>
                <w:rFonts w:hint="default" w:ascii="Times New Roman" w:hAnsi="Times New Roman" w:eastAsia="宋体" w:cs="Times New Roman"/>
                <w:b w:val="0"/>
                <w:bCs w:val="0"/>
                <w:spacing w:val="0"/>
                <w:position w:val="0"/>
                <w:sz w:val="21"/>
                <w:szCs w:val="21"/>
              </w:rPr>
              <w:t>企业出厂口和料场出口处</w:t>
            </w:r>
            <w:r>
              <w:rPr>
                <w:rFonts w:hint="default" w:ascii="Times New Roman" w:hAnsi="Times New Roman" w:eastAsia="宋体" w:cs="Times New Roman"/>
                <w:b w:val="0"/>
                <w:bCs w:val="0"/>
                <w:spacing w:val="0"/>
                <w:position w:val="0"/>
                <w:sz w:val="21"/>
                <w:szCs w:val="21"/>
                <w:vertAlign w:val="superscript"/>
              </w:rPr>
              <w:t>【1】</w:t>
            </w:r>
            <w:r>
              <w:rPr>
                <w:rFonts w:hint="default" w:ascii="Times New Roman" w:hAnsi="Times New Roman" w:eastAsia="宋体" w:cs="Times New Roman"/>
                <w:b w:val="0"/>
                <w:bCs w:val="0"/>
                <w:spacing w:val="0"/>
                <w:position w:val="0"/>
                <w:sz w:val="21"/>
                <w:szCs w:val="21"/>
              </w:rPr>
              <w:t>配备自动感应式高压清洗装置，对所有货物运输车辆的车轮、底盘进行冲洗；</w:t>
            </w:r>
          </w:p>
          <w:p w14:paraId="1DD5B5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10.</w:t>
            </w:r>
            <w:r>
              <w:rPr>
                <w:rFonts w:hint="default" w:ascii="Times New Roman" w:hAnsi="Times New Roman" w:eastAsia="宋体" w:cs="Times New Roman"/>
                <w:b w:val="0"/>
                <w:bCs w:val="0"/>
                <w:spacing w:val="0"/>
                <w:position w:val="0"/>
                <w:sz w:val="21"/>
                <w:szCs w:val="21"/>
              </w:rPr>
              <w:t>洗车台周边配备视频监控</w:t>
            </w:r>
            <w:r>
              <w:rPr>
                <w:rFonts w:hint="eastAsia" w:ascii="Times New Roman" w:hAnsi="Times New Roman" w:cs="Times New Roman"/>
                <w:b w:val="0"/>
                <w:bCs w:val="0"/>
                <w:spacing w:val="0"/>
                <w:position w:val="0"/>
                <w:sz w:val="21"/>
                <w:szCs w:val="21"/>
                <w:lang w:eastAsia="zh-CN"/>
              </w:rPr>
              <w:t>，具</w:t>
            </w:r>
            <w:r>
              <w:rPr>
                <w:rFonts w:hint="default" w:ascii="Times New Roman" w:hAnsi="Times New Roman" w:eastAsia="宋体" w:cs="Times New Roman"/>
                <w:b w:val="0"/>
                <w:bCs w:val="0"/>
                <w:spacing w:val="0"/>
                <w:position w:val="0"/>
                <w:sz w:val="21"/>
                <w:szCs w:val="21"/>
              </w:rPr>
              <w:t>有辅助照明系统，视频监控数据保存一年；</w:t>
            </w:r>
          </w:p>
          <w:p w14:paraId="0103A77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11.</w:t>
            </w:r>
            <w:r>
              <w:rPr>
                <w:rFonts w:hint="default" w:ascii="Times New Roman" w:hAnsi="Times New Roman" w:eastAsia="宋体" w:cs="Times New Roman"/>
                <w:b w:val="0"/>
                <w:bCs w:val="0"/>
                <w:spacing w:val="0"/>
                <w:position w:val="0"/>
                <w:sz w:val="21"/>
                <w:szCs w:val="21"/>
              </w:rPr>
              <w:t>洗车台全自动操作</w:t>
            </w:r>
            <w:r>
              <w:rPr>
                <w:rFonts w:hint="eastAsia" w:ascii="Times New Roman" w:hAnsi="Times New Roman" w:cs="Times New Roman"/>
                <w:b w:val="0"/>
                <w:bCs w:val="0"/>
                <w:spacing w:val="0"/>
                <w:position w:val="0"/>
                <w:sz w:val="21"/>
                <w:szCs w:val="21"/>
                <w:lang w:eastAsia="zh-CN"/>
              </w:rPr>
              <w:t>，具</w:t>
            </w:r>
            <w:r>
              <w:rPr>
                <w:rFonts w:hint="default" w:ascii="Times New Roman" w:hAnsi="Times New Roman" w:eastAsia="宋体" w:cs="Times New Roman"/>
                <w:b w:val="0"/>
                <w:bCs w:val="0"/>
                <w:spacing w:val="0"/>
                <w:position w:val="0"/>
                <w:sz w:val="21"/>
                <w:szCs w:val="21"/>
              </w:rPr>
              <w:t>有最低冲洗时间控制功能，具备自动和手动冲洗功能；鼓励企业商砼罐车清洗采用干式技术，减少厂区废水产生</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以保障洗车区域干净整洁、无物料撒漏、堆积</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粘结；</w:t>
            </w:r>
          </w:p>
          <w:p w14:paraId="21B99D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12.</w:t>
            </w:r>
            <w:r>
              <w:rPr>
                <w:rFonts w:hint="default" w:ascii="Times New Roman" w:hAnsi="Times New Roman" w:eastAsia="宋体" w:cs="Times New Roman"/>
                <w:b w:val="0"/>
                <w:bCs w:val="0"/>
                <w:spacing w:val="0"/>
                <w:position w:val="0"/>
                <w:sz w:val="21"/>
                <w:szCs w:val="21"/>
              </w:rPr>
              <w:t>洗车台</w:t>
            </w:r>
            <w:r>
              <w:rPr>
                <w:rFonts w:hint="eastAsia" w:ascii="Times New Roman" w:hAnsi="Times New Roman" w:cs="Times New Roman"/>
                <w:b w:val="0"/>
                <w:bCs w:val="0"/>
                <w:spacing w:val="0"/>
                <w:position w:val="0"/>
                <w:sz w:val="21"/>
                <w:szCs w:val="21"/>
                <w:lang w:eastAsia="zh-CN"/>
              </w:rPr>
              <w:t>配备</w:t>
            </w:r>
            <w:r>
              <w:rPr>
                <w:rFonts w:hint="default" w:ascii="Times New Roman" w:hAnsi="Times New Roman" w:eastAsia="宋体" w:cs="Times New Roman"/>
                <w:b w:val="0"/>
                <w:bCs w:val="0"/>
                <w:spacing w:val="0"/>
                <w:position w:val="0"/>
                <w:sz w:val="21"/>
                <w:szCs w:val="21"/>
              </w:rPr>
              <w:t>废水收集、处理系统。</w:t>
            </w:r>
          </w:p>
        </w:tc>
        <w:tc>
          <w:tcPr>
            <w:tcW w:w="4342" w:type="dxa"/>
            <w:gridSpan w:val="2"/>
            <w:tcBorders>
              <w:tl2br w:val="nil"/>
              <w:tr2bl w:val="nil"/>
            </w:tcBorders>
            <w:vAlign w:val="center"/>
          </w:tcPr>
          <w:p w14:paraId="43FAAB6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与A级第</w:t>
            </w:r>
            <w:r>
              <w:rPr>
                <w:rFonts w:hint="default" w:ascii="Times New Roman" w:hAnsi="Times New Roman" w:cs="Times New Roman"/>
                <w:b w:val="0"/>
                <w:bCs w:val="0"/>
                <w:spacing w:val="0"/>
                <w:position w:val="0"/>
                <w:sz w:val="21"/>
                <w:szCs w:val="21"/>
                <w:lang w:val="en-US" w:eastAsia="zh-CN"/>
              </w:rPr>
              <w:t>9</w:t>
            </w:r>
            <w:r>
              <w:rPr>
                <w:rFonts w:hint="default" w:ascii="Times New Roman" w:hAnsi="Times New Roman" w:eastAsia="宋体" w:cs="Times New Roman"/>
                <w:b w:val="0"/>
                <w:bCs w:val="0"/>
                <w:spacing w:val="0"/>
                <w:position w:val="0"/>
                <w:sz w:val="21"/>
                <w:szCs w:val="21"/>
              </w:rPr>
              <w:t>条要求相同。</w:t>
            </w:r>
          </w:p>
          <w:p w14:paraId="148CEED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与A级第</w:t>
            </w:r>
            <w:r>
              <w:rPr>
                <w:rFonts w:hint="default" w:ascii="Times New Roman" w:hAnsi="Times New Roman" w:cs="Times New Roman"/>
                <w:b w:val="0"/>
                <w:bCs w:val="0"/>
                <w:spacing w:val="0"/>
                <w:position w:val="0"/>
                <w:sz w:val="21"/>
                <w:szCs w:val="21"/>
                <w:lang w:val="en-US" w:eastAsia="zh-CN"/>
              </w:rPr>
              <w:t>12</w:t>
            </w:r>
            <w:r>
              <w:rPr>
                <w:rFonts w:hint="default" w:ascii="Times New Roman" w:hAnsi="Times New Roman" w:eastAsia="宋体" w:cs="Times New Roman"/>
                <w:b w:val="0"/>
                <w:bCs w:val="0"/>
                <w:spacing w:val="0"/>
                <w:position w:val="0"/>
                <w:sz w:val="21"/>
                <w:szCs w:val="21"/>
              </w:rPr>
              <w:t>条要求相同。</w:t>
            </w:r>
          </w:p>
        </w:tc>
        <w:tc>
          <w:tcPr>
            <w:tcW w:w="2718" w:type="dxa"/>
            <w:gridSpan w:val="2"/>
            <w:tcBorders>
              <w:tl2br w:val="nil"/>
              <w:tr2bl w:val="nil"/>
            </w:tcBorders>
            <w:vAlign w:val="center"/>
          </w:tcPr>
          <w:p w14:paraId="5E4FB4E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至少达</w:t>
            </w:r>
            <w:r>
              <w:rPr>
                <w:rFonts w:hint="default" w:ascii="Times New Roman" w:hAnsi="Times New Roman" w:eastAsia="宋体" w:cs="Times New Roman"/>
                <w:b w:val="0"/>
                <w:bCs w:val="0"/>
                <w:spacing w:val="0"/>
                <w:position w:val="0"/>
                <w:sz w:val="21"/>
                <w:szCs w:val="21"/>
              </w:rPr>
              <w:t>到A级</w:t>
            </w:r>
            <w:r>
              <w:rPr>
                <w:rFonts w:hint="default" w:ascii="Times New Roman" w:hAnsi="Times New Roman" w:cs="Times New Roman"/>
                <w:b w:val="0"/>
                <w:bCs w:val="0"/>
                <w:spacing w:val="0"/>
                <w:position w:val="0"/>
                <w:sz w:val="21"/>
                <w:szCs w:val="21"/>
                <w:lang w:val="en-US" w:eastAsia="zh-CN"/>
              </w:rPr>
              <w:t>第9条</w:t>
            </w:r>
            <w:r>
              <w:rPr>
                <w:rFonts w:hint="default" w:ascii="Times New Roman" w:hAnsi="Times New Roman" w:eastAsia="宋体" w:cs="Times New Roman"/>
                <w:b w:val="0"/>
                <w:bCs w:val="0"/>
                <w:spacing w:val="0"/>
                <w:position w:val="0"/>
                <w:sz w:val="21"/>
                <w:szCs w:val="21"/>
              </w:rPr>
              <w:t>要求</w:t>
            </w:r>
          </w:p>
        </w:tc>
        <w:tc>
          <w:tcPr>
            <w:tcW w:w="1192" w:type="dxa"/>
            <w:gridSpan w:val="2"/>
            <w:tcBorders>
              <w:tl2br w:val="nil"/>
              <w:tr2bl w:val="nil"/>
            </w:tcBorders>
            <w:vAlign w:val="center"/>
          </w:tcPr>
          <w:p w14:paraId="0CA929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386AE6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1FEEBE0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4967" w:type="dxa"/>
            <w:gridSpan w:val="2"/>
            <w:tcBorders>
              <w:tl2br w:val="nil"/>
              <w:tr2bl w:val="nil"/>
            </w:tcBorders>
          </w:tcPr>
          <w:p w14:paraId="0EF2A3B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沥青烟有组织排放浓度均不高于10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30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10mg/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0496FE8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VOCs治理设施去除率达到80%及以上；因烟气收集工艺原因去除率确实达不到的，生产车间或生产设备的无组织排放监控点NMHC浓度低于4mg/m³</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企业边界1hNMHC平均浓度低于2mg/m³;</w:t>
            </w:r>
          </w:p>
          <w:p w14:paraId="03D4EE3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厂界PM排放浓度不高于1mg/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576207A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锅炉（导热油炉）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w:t>
            </w:r>
            <w:r>
              <w:rPr>
                <w:rFonts w:hint="eastAsia" w:ascii="Times New Roman" w:hAnsi="Times New Roman" w:cs="Times New Roman"/>
                <w:b w:val="0"/>
                <w:bCs w:val="0"/>
                <w:spacing w:val="0"/>
                <w:position w:val="0"/>
                <w:sz w:val="21"/>
                <w:szCs w:val="21"/>
                <w:lang w:val="en-US" w:eastAsia="zh-CN"/>
              </w:rPr>
              <w:t>涉及</w:t>
            </w:r>
            <w:r>
              <w:rPr>
                <w:rFonts w:hint="default" w:ascii="Times New Roman" w:hAnsi="Times New Roman" w:eastAsia="宋体" w:cs="Times New Roman"/>
                <w:b w:val="0"/>
                <w:bCs w:val="0"/>
                <w:spacing w:val="0"/>
                <w:position w:val="0"/>
                <w:sz w:val="21"/>
                <w:szCs w:val="21"/>
                <w:lang w:val="en-US" w:eastAsia="zh-CN"/>
              </w:rPr>
              <w:t>锅炉/炉窑企业相应绩效分级指标</w:t>
            </w:r>
            <w:r>
              <w:rPr>
                <w:rFonts w:hint="default" w:ascii="Times New Roman" w:hAnsi="Times New Roman" w:cs="Times New Roman"/>
                <w:b w:val="0"/>
                <w:bCs w:val="0"/>
                <w:spacing w:val="0"/>
                <w:position w:val="0"/>
                <w:sz w:val="21"/>
                <w:szCs w:val="21"/>
                <w:lang w:eastAsia="zh-CN"/>
              </w:rPr>
              <w:t>。</w:t>
            </w:r>
          </w:p>
        </w:tc>
        <w:tc>
          <w:tcPr>
            <w:tcW w:w="4342" w:type="dxa"/>
            <w:gridSpan w:val="2"/>
            <w:tcBorders>
              <w:tl2br w:val="nil"/>
              <w:tr2bl w:val="nil"/>
            </w:tcBorders>
            <w:vAlign w:val="center"/>
          </w:tcPr>
          <w:p w14:paraId="116755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沥青烟有组织排放浓度分别不高于10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40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535CAAA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同A级第2条要求；</w:t>
            </w:r>
          </w:p>
          <w:p w14:paraId="4AF2418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同A级第3条要求；</w:t>
            </w:r>
          </w:p>
          <w:p w14:paraId="5AB34B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同A级第4条要求。</w:t>
            </w:r>
          </w:p>
        </w:tc>
        <w:tc>
          <w:tcPr>
            <w:tcW w:w="2718" w:type="dxa"/>
            <w:gridSpan w:val="2"/>
            <w:tcBorders>
              <w:tl2br w:val="nil"/>
              <w:tr2bl w:val="nil"/>
            </w:tcBorders>
            <w:vAlign w:val="center"/>
          </w:tcPr>
          <w:p w14:paraId="3A217FA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沥青烟有组织排放浓度分别不高于</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67AE14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同A级第4条要求。</w:t>
            </w:r>
          </w:p>
        </w:tc>
        <w:tc>
          <w:tcPr>
            <w:tcW w:w="1192" w:type="dxa"/>
            <w:gridSpan w:val="2"/>
            <w:tcBorders>
              <w:tl2br w:val="nil"/>
              <w:tr2bl w:val="nil"/>
            </w:tcBorders>
            <w:vAlign w:val="center"/>
          </w:tcPr>
          <w:p w14:paraId="7B50302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各项污染物稳定达到现行排放控制要求，并从</w:t>
            </w:r>
          </w:p>
          <w:p w14:paraId="4930A74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严地方要求。</w:t>
            </w:r>
          </w:p>
        </w:tc>
      </w:tr>
      <w:tr w14:paraId="01C3579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4E459D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9309" w:type="dxa"/>
            <w:gridSpan w:val="4"/>
            <w:tcBorders>
              <w:tl2br w:val="nil"/>
              <w:tr2bl w:val="nil"/>
            </w:tcBorders>
            <w:vAlign w:val="center"/>
          </w:tcPr>
          <w:p w14:paraId="1ADC2334">
            <w:pPr>
              <w:pStyle w:val="13"/>
              <w:keepNext w:val="0"/>
              <w:keepLines w:val="0"/>
              <w:pageBreakBefore w:val="0"/>
              <w:widowControl/>
              <w:numPr>
                <w:ilvl w:val="0"/>
                <w:numId w:val="1"/>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重点排污单位风量大于10000</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/h的主要排放口安装NMHC在线监测设施（FID检测器）并按要求联网</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在线监测</w:t>
            </w:r>
            <w:r>
              <w:rPr>
                <w:rFonts w:hint="default" w:ascii="Times New Roman" w:hAnsi="Times New Roman" w:cs="Times New Roman"/>
                <w:b w:val="0"/>
                <w:bCs w:val="0"/>
                <w:spacing w:val="0"/>
                <w:position w:val="0"/>
                <w:sz w:val="21"/>
                <w:szCs w:val="21"/>
                <w:lang w:val="en-US" w:eastAsia="zh-CN"/>
              </w:rPr>
              <w:t>相关</w:t>
            </w:r>
            <w:r>
              <w:rPr>
                <w:rFonts w:hint="default" w:ascii="Times New Roman" w:hAnsi="Times New Roman" w:eastAsia="宋体" w:cs="Times New Roman"/>
                <w:b w:val="0"/>
                <w:bCs w:val="0"/>
                <w:spacing w:val="0"/>
                <w:position w:val="0"/>
                <w:sz w:val="21"/>
                <w:szCs w:val="21"/>
              </w:rPr>
              <w:t>数据</w:t>
            </w:r>
            <w:r>
              <w:rPr>
                <w:rFonts w:hint="eastAsia" w:ascii="Times New Roman" w:hAnsi="Times New Roman" w:cs="Times New Roman"/>
                <w:b w:val="0"/>
                <w:bCs w:val="0"/>
                <w:spacing w:val="0"/>
                <w:position w:val="0"/>
                <w:sz w:val="21"/>
                <w:szCs w:val="21"/>
                <w:lang w:eastAsia="zh-CN"/>
              </w:rPr>
              <w:t>至少保存1年</w:t>
            </w:r>
            <w:r>
              <w:rPr>
                <w:rFonts w:hint="default" w:ascii="Times New Roman" w:hAnsi="Times New Roman" w:eastAsia="宋体" w:cs="Times New Roman"/>
                <w:b w:val="0"/>
                <w:bCs w:val="0"/>
                <w:spacing w:val="0"/>
                <w:position w:val="0"/>
                <w:sz w:val="21"/>
                <w:szCs w:val="21"/>
              </w:rPr>
              <w:t>。（投产或安装时间不满一年以上的企业</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以现有数据为准）；</w:t>
            </w:r>
          </w:p>
          <w:p w14:paraId="42679483">
            <w:pPr>
              <w:pStyle w:val="13"/>
              <w:keepNext w:val="0"/>
              <w:keepLines w:val="0"/>
              <w:pageBreakBefore w:val="0"/>
              <w:widowControl/>
              <w:numPr>
                <w:ilvl w:val="0"/>
                <w:numId w:val="1"/>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eastAsia="zh-CN"/>
              </w:rPr>
              <w:t>厂内未安装在线监控的涉气生产设施主要投料口、料场出入口等易产尘点安装高清视频监控系统，视频监控数据保存6个月以上；</w:t>
            </w:r>
          </w:p>
          <w:p w14:paraId="1C424F7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eastAsia"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环保治理设施安装DCS</w:t>
            </w:r>
            <w:r>
              <w:rPr>
                <w:rFonts w:hint="eastAsia" w:ascii="Times New Roman" w:hAnsi="Times New Roman" w:cs="Times New Roman"/>
                <w:b w:val="0"/>
                <w:bCs w:val="0"/>
                <w:spacing w:val="7"/>
                <w:sz w:val="21"/>
                <w:szCs w:val="21"/>
                <w:lang w:val="en-US" w:eastAsia="zh-CN"/>
              </w:rPr>
              <w:t>/PLC</w:t>
            </w:r>
            <w:r>
              <w:rPr>
                <w:rFonts w:hint="default" w:ascii="Times New Roman" w:hAnsi="Times New Roman" w:eastAsia="宋体" w:cs="Times New Roman"/>
                <w:b w:val="0"/>
                <w:bCs w:val="0"/>
                <w:spacing w:val="7"/>
                <w:sz w:val="21"/>
                <w:szCs w:val="21"/>
              </w:rPr>
              <w:t>，记录企业环保设施</w:t>
            </w:r>
            <w:r>
              <w:rPr>
                <w:rFonts w:hint="eastAsia" w:ascii="Times New Roman" w:hAnsi="Times New Roman" w:cs="Times New Roman"/>
                <w:b w:val="0"/>
                <w:bCs w:val="0"/>
                <w:spacing w:val="7"/>
                <w:sz w:val="21"/>
                <w:szCs w:val="21"/>
                <w:lang w:eastAsia="zh-CN"/>
              </w:rPr>
              <w:t>运行</w:t>
            </w:r>
            <w:r>
              <w:rPr>
                <w:rFonts w:hint="eastAsia" w:ascii="Times New Roman" w:hAnsi="Times New Roman" w:cs="Times New Roman"/>
                <w:b w:val="0"/>
                <w:bCs w:val="0"/>
                <w:spacing w:val="7"/>
                <w:sz w:val="21"/>
                <w:szCs w:val="21"/>
                <w:lang w:val="en-US" w:eastAsia="zh-CN"/>
              </w:rPr>
              <w:t>的主要参数</w:t>
            </w:r>
            <w:r>
              <w:rPr>
                <w:rFonts w:hint="default" w:ascii="Times New Roman" w:hAnsi="Times New Roman" w:eastAsia="宋体" w:cs="Times New Roman"/>
                <w:b w:val="0"/>
                <w:bCs w:val="0"/>
                <w:spacing w:val="7"/>
                <w:sz w:val="21"/>
                <w:szCs w:val="21"/>
              </w:rPr>
              <w:t>，监控数据至少保存一年。</w:t>
            </w:r>
          </w:p>
          <w:p w14:paraId="06921A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p>
        </w:tc>
        <w:tc>
          <w:tcPr>
            <w:tcW w:w="2718" w:type="dxa"/>
            <w:gridSpan w:val="2"/>
            <w:tcBorders>
              <w:tl2br w:val="nil"/>
              <w:tr2bl w:val="nil"/>
            </w:tcBorders>
            <w:vAlign w:val="center"/>
          </w:tcPr>
          <w:p w14:paraId="649BF0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至少达到A级要求中2、</w:t>
            </w: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项</w:t>
            </w:r>
          </w:p>
        </w:tc>
        <w:tc>
          <w:tcPr>
            <w:tcW w:w="1192" w:type="dxa"/>
            <w:gridSpan w:val="2"/>
            <w:tcBorders>
              <w:tl2br w:val="nil"/>
              <w:tr2bl w:val="nil"/>
            </w:tcBorders>
            <w:vAlign w:val="center"/>
          </w:tcPr>
          <w:p w14:paraId="18C5878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874CA6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restart"/>
            <w:tcBorders>
              <w:tl2br w:val="nil"/>
              <w:tr2bl w:val="nil"/>
            </w:tcBorders>
            <w:vAlign w:val="center"/>
          </w:tcPr>
          <w:p w14:paraId="427F6A4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13219" w:type="dxa"/>
            <w:gridSpan w:val="8"/>
            <w:tcBorders>
              <w:tl2br w:val="nil"/>
              <w:tr2bl w:val="nil"/>
            </w:tcBorders>
          </w:tcPr>
          <w:p w14:paraId="4686798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6AB13E8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vMerge w:val="continue"/>
            <w:tcBorders>
              <w:tl2br w:val="nil"/>
              <w:tr2bl w:val="nil"/>
            </w:tcBorders>
            <w:vAlign w:val="center"/>
          </w:tcPr>
          <w:p w14:paraId="4CFA4E9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9309" w:type="dxa"/>
            <w:gridSpan w:val="4"/>
            <w:tcBorders>
              <w:tl2br w:val="nil"/>
              <w:tr2bl w:val="nil"/>
            </w:tcBorders>
            <w:vAlign w:val="center"/>
          </w:tcPr>
          <w:p w14:paraId="3EEE18E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废气污染治理设施运行管理信息（燃烧室温度、</w:t>
            </w:r>
            <w:r>
              <w:rPr>
                <w:rFonts w:hint="default" w:ascii="Times New Roman" w:hAnsi="Times New Roman" w:cs="Times New Roman"/>
                <w:b w:val="0"/>
                <w:bCs w:val="0"/>
                <w:spacing w:val="0"/>
                <w:position w:val="0"/>
                <w:sz w:val="21"/>
                <w:szCs w:val="21"/>
                <w:lang w:val="en-US" w:eastAsia="zh-CN"/>
              </w:rPr>
              <w:t>脱附温度、</w:t>
            </w:r>
            <w:r>
              <w:rPr>
                <w:rFonts w:hint="default" w:ascii="Times New Roman" w:hAnsi="Times New Roman" w:eastAsia="宋体" w:cs="Times New Roman"/>
                <w:b w:val="0"/>
                <w:bCs w:val="0"/>
                <w:spacing w:val="0"/>
                <w:position w:val="0"/>
                <w:sz w:val="21"/>
                <w:szCs w:val="21"/>
              </w:rPr>
              <w:t>冷凝温度、过滤材料更换频次、吸附剂更换频次、催化剂更换频次）；3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监测记录信息（主要污染排放口废气排放记录（手工监测或在线监测）等）；4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主要原辅材料消耗记录；5、燃料（天然气）消耗记录。</w:t>
            </w:r>
          </w:p>
        </w:tc>
        <w:tc>
          <w:tcPr>
            <w:tcW w:w="2718" w:type="dxa"/>
            <w:gridSpan w:val="2"/>
            <w:tcBorders>
              <w:tl2br w:val="nil"/>
              <w:tr2bl w:val="nil"/>
            </w:tcBorders>
            <w:vAlign w:val="center"/>
          </w:tcPr>
          <w:p w14:paraId="671B8AE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至少达到A级要求中1、2、3项</w:t>
            </w:r>
          </w:p>
        </w:tc>
        <w:tc>
          <w:tcPr>
            <w:tcW w:w="1192" w:type="dxa"/>
            <w:gridSpan w:val="2"/>
            <w:tcBorders>
              <w:tl2br w:val="nil"/>
              <w:tr2bl w:val="nil"/>
            </w:tcBorders>
            <w:vAlign w:val="center"/>
          </w:tcPr>
          <w:p w14:paraId="3BF704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4361BF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vMerge w:val="continue"/>
            <w:tcBorders>
              <w:tl2br w:val="nil"/>
              <w:tr2bl w:val="nil"/>
            </w:tcBorders>
            <w:vAlign w:val="center"/>
          </w:tcPr>
          <w:p w14:paraId="4D6BF73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9309" w:type="dxa"/>
            <w:gridSpan w:val="4"/>
            <w:tcBorders>
              <w:right w:val="single" w:color="auto" w:sz="4" w:space="0"/>
              <w:tl2br w:val="nil"/>
              <w:tr2bl w:val="nil"/>
            </w:tcBorders>
            <w:vAlign w:val="center"/>
          </w:tcPr>
          <w:p w14:paraId="5E7C2A1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人员配置：设置环保部门，配备专职环保人员，并具备相应的环境管理能力。</w:t>
            </w:r>
          </w:p>
        </w:tc>
        <w:tc>
          <w:tcPr>
            <w:tcW w:w="3910" w:type="dxa"/>
            <w:gridSpan w:val="4"/>
            <w:tcBorders>
              <w:left w:val="single" w:color="auto" w:sz="4" w:space="0"/>
              <w:tl2br w:val="nil"/>
              <w:tr2bl w:val="nil"/>
            </w:tcBorders>
            <w:vAlign w:val="center"/>
          </w:tcPr>
          <w:p w14:paraId="4AC132D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人员配置：配备专职环保人员，并具备相应的环境管理能力。</w:t>
            </w:r>
          </w:p>
        </w:tc>
      </w:tr>
      <w:tr w14:paraId="77ED2BD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6C2BF63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运输方式</w:t>
            </w:r>
          </w:p>
        </w:tc>
        <w:tc>
          <w:tcPr>
            <w:tcW w:w="4967" w:type="dxa"/>
            <w:gridSpan w:val="2"/>
            <w:tcBorders>
              <w:tl2br w:val="nil"/>
              <w:tr2bl w:val="nil"/>
            </w:tcBorders>
            <w:vAlign w:val="center"/>
          </w:tcPr>
          <w:p w14:paraId="202850A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2D7B2AA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6A79F2E7">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p w14:paraId="52F7FAB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7B98C6A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4342" w:type="dxa"/>
            <w:gridSpan w:val="2"/>
            <w:tcBorders>
              <w:tl2br w:val="nil"/>
              <w:tr2bl w:val="nil"/>
            </w:tcBorders>
            <w:vAlign w:val="center"/>
          </w:tcPr>
          <w:p w14:paraId="0D2CC8E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1153493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5207626D">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28D376BE">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165EEF0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2718" w:type="dxa"/>
            <w:gridSpan w:val="2"/>
            <w:tcBorders>
              <w:tl2br w:val="nil"/>
              <w:tr2bl w:val="nil"/>
            </w:tcBorders>
            <w:vAlign w:val="center"/>
          </w:tcPr>
          <w:p w14:paraId="205BC48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69F6241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0D65FC97">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p w14:paraId="2C8A53B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5201B85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1192" w:type="dxa"/>
            <w:gridSpan w:val="2"/>
            <w:tcBorders>
              <w:tl2br w:val="nil"/>
              <w:tr2bl w:val="nil"/>
            </w:tcBorders>
            <w:vAlign w:val="center"/>
          </w:tcPr>
          <w:p w14:paraId="768B1A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C22CE9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23FCC23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运输监管</w:t>
            </w:r>
          </w:p>
        </w:tc>
        <w:tc>
          <w:tcPr>
            <w:tcW w:w="9309" w:type="dxa"/>
            <w:gridSpan w:val="4"/>
            <w:tcBorders>
              <w:tl2br w:val="nil"/>
              <w:tr2bl w:val="nil"/>
            </w:tcBorders>
            <w:vAlign w:val="center"/>
          </w:tcPr>
          <w:p w14:paraId="5CA2CBE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cs="Times New Roman"/>
                <w:b w:val="0"/>
                <w:bCs w:val="0"/>
                <w:spacing w:val="0"/>
                <w:position w:val="0"/>
                <w:sz w:val="21"/>
                <w:szCs w:val="21"/>
                <w:lang w:eastAsia="zh-CN"/>
              </w:rPr>
              <w:t>。</w:t>
            </w:r>
          </w:p>
        </w:tc>
        <w:tc>
          <w:tcPr>
            <w:tcW w:w="3910" w:type="dxa"/>
            <w:gridSpan w:val="4"/>
            <w:tcBorders>
              <w:tl2br w:val="nil"/>
              <w:tr2bl w:val="nil"/>
            </w:tcBorders>
            <w:vAlign w:val="center"/>
          </w:tcPr>
          <w:p w14:paraId="069EFD7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未达到A</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B级要求</w:t>
            </w:r>
          </w:p>
        </w:tc>
      </w:tr>
      <w:tr w14:paraId="0BB4DBD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3545" w:type="dxa"/>
            <w:gridSpan w:val="8"/>
            <w:tcBorders>
              <w:tl2br w:val="nil"/>
              <w:tr2bl w:val="nil"/>
            </w:tcBorders>
            <w:vAlign w:val="center"/>
          </w:tcPr>
          <w:p w14:paraId="4AA41C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备注【1】：料场口与出厂口距离在100米以内的可合并安装1处洗车台；企业如有多处洗车台，在出厂口前安装一套自动感应式高压清洗装置即可。</w:t>
            </w:r>
          </w:p>
        </w:tc>
        <w:tc>
          <w:tcPr>
            <w:tcW w:w="1192" w:type="dxa"/>
            <w:gridSpan w:val="2"/>
            <w:tcBorders>
              <w:tl2br w:val="nil"/>
              <w:tr2bl w:val="nil"/>
            </w:tcBorders>
            <w:vAlign w:val="center"/>
          </w:tcPr>
          <w:p w14:paraId="1D2CDF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p>
        </w:tc>
      </w:tr>
    </w:tbl>
    <w:p w14:paraId="76ECAA2A">
      <w:pPr>
        <w:pStyle w:val="5"/>
        <w:spacing w:line="341" w:lineRule="auto"/>
        <w:rPr>
          <w:rFonts w:hint="default" w:ascii="Times New Roman" w:hAnsi="Times New Roman" w:cs="Times New Roman"/>
        </w:rPr>
        <w:sectPr>
          <w:footerReference r:id="rId12" w:type="default"/>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B37AAC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74" w:name="_Toc4096"/>
      <w:bookmarkStart w:id="75" w:name="_Toc11563"/>
      <w:r>
        <w:rPr>
          <w:rFonts w:hint="default" w:ascii="Times New Roman" w:hAnsi="Times New Roman" w:eastAsia="楷体" w:cs="Times New Roman"/>
          <w:b/>
          <w:sz w:val="30"/>
          <w:szCs w:val="30"/>
          <w:lang w:eastAsia="zh-CN"/>
        </w:rPr>
        <w:t>（五）减排措施</w:t>
      </w:r>
      <w:bookmarkEnd w:id="74"/>
      <w:bookmarkEnd w:id="75"/>
    </w:p>
    <w:p w14:paraId="13E085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A级企业</w:t>
      </w:r>
    </w:p>
    <w:p w14:paraId="7A722A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w:t>
      </w:r>
    </w:p>
    <w:p w14:paraId="414210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B级企业</w:t>
      </w:r>
    </w:p>
    <w:p w14:paraId="0D0D98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40FE5E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橙色预警期间：搅拌、烘干、沥青加热等工序限产50%，重点排污单位在每次预警启动前以预警发布前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362142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红色预警期间：搅拌、烘干、沥青加热等涉气工序停产；停止使用国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542305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C级企业</w:t>
      </w:r>
    </w:p>
    <w:p w14:paraId="60944E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黄色预警期间：搅拌、烘干、沥青加热等工序停产50%，重点排污单位在每次预警启动前以预警发布前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4E22DA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橙色和红色预警期间：搅拌、烘干、沥青加热等涉气工序停产；停止使用国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359051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val="en-US" w:eastAsia="zh-CN"/>
        </w:rPr>
        <w:t>D级企业</w:t>
      </w:r>
    </w:p>
    <w:p w14:paraId="129599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黄色及以上</w:t>
      </w:r>
      <w:r>
        <w:rPr>
          <w:rFonts w:hint="default" w:ascii="Times New Roman" w:hAnsi="Times New Roman" w:eastAsia="宋体" w:cs="Times New Roman"/>
          <w:spacing w:val="-2"/>
          <w:sz w:val="28"/>
          <w:szCs w:val="28"/>
          <w:lang w:eastAsia="zh-CN"/>
        </w:rPr>
        <w:t>预警期间：停产；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29D3B5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备注</w:t>
      </w:r>
    </w:p>
    <w:p w14:paraId="33480F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保障重点工程的商砼、沥青砼搅拌站，经市级及以上部门公示批准后，实行定向定量生产及运输。</w:t>
      </w:r>
    </w:p>
    <w:p w14:paraId="38ACCD1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sz w:val="30"/>
          <w:szCs w:val="30"/>
          <w:lang w:eastAsia="zh-CN"/>
        </w:rPr>
      </w:pPr>
      <w:bookmarkStart w:id="76" w:name="_Toc27097"/>
      <w:bookmarkStart w:id="77" w:name="_Toc11578"/>
      <w:r>
        <w:rPr>
          <w:rFonts w:hint="default" w:ascii="Times New Roman" w:hAnsi="Times New Roman" w:eastAsia="楷体" w:cs="Times New Roman"/>
          <w:sz w:val="30"/>
          <w:szCs w:val="30"/>
          <w:lang w:eastAsia="zh-CN"/>
        </w:rPr>
        <w:t>（六）核查方法</w:t>
      </w:r>
      <w:bookmarkEnd w:id="76"/>
      <w:bookmarkEnd w:id="77"/>
    </w:p>
    <w:p w14:paraId="7675D4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28BD7F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查看污染治理设施是否稳定运行；查看生产设备预警期间是否按要求实施停限产。</w:t>
      </w:r>
    </w:p>
    <w:p w14:paraId="7D55AA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查阅生产设备运行台账，查看原辅料等使用量，产品产量，判断预警期间是否落实停产要求。</w:t>
      </w:r>
    </w:p>
    <w:p w14:paraId="18ED9F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调取厂区货运进出口视频监控记录，查看运输管理台账，比对预警前后厂区汽车运输情况，检查是否符合要求；现场抽查运行车辆和非道路移动机械，核查排放阶段是否符合要求。</w:t>
      </w:r>
    </w:p>
    <w:p w14:paraId="6814BD18">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78" w:name="_Toc20968"/>
      <w:bookmarkStart w:id="79" w:name="_Toc21963"/>
      <w:r>
        <w:rPr>
          <w:rFonts w:hint="default" w:ascii="Times New Roman" w:hAnsi="Times New Roman" w:cs="Times New Roman"/>
          <w:b/>
          <w:sz w:val="32"/>
          <w:szCs w:val="32"/>
          <w:lang w:val="en-US" w:eastAsia="zh-CN"/>
        </w:rPr>
        <w:t>六、通用涉PM、VOCs行业</w:t>
      </w:r>
      <w:bookmarkEnd w:id="78"/>
      <w:bookmarkEnd w:id="79"/>
    </w:p>
    <w:p w14:paraId="27F9345B">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对于不属于国家39个重点行业、我省</w:t>
      </w:r>
      <w:r>
        <w:rPr>
          <w:rFonts w:hint="default" w:ascii="Times New Roman" w:hAnsi="Times New Roman" w:eastAsia="宋体" w:cs="Times New Roman"/>
          <w:spacing w:val="-2"/>
          <w:sz w:val="28"/>
          <w:szCs w:val="28"/>
          <w:lang w:val="en-US" w:eastAsia="zh-CN"/>
        </w:rPr>
        <w:t>5</w:t>
      </w:r>
      <w:r>
        <w:rPr>
          <w:rFonts w:hint="default" w:ascii="Times New Roman" w:hAnsi="Times New Roman" w:eastAsia="宋体" w:cs="Times New Roman"/>
          <w:spacing w:val="-2"/>
          <w:sz w:val="28"/>
          <w:szCs w:val="28"/>
          <w:lang w:eastAsia="zh-CN"/>
        </w:rPr>
        <w:t>个重点行业</w:t>
      </w:r>
      <w:r>
        <w:rPr>
          <w:rFonts w:hint="default" w:ascii="Times New Roman" w:hAnsi="Times New Roman" w:eastAsia="宋体" w:cs="Times New Roman"/>
          <w:spacing w:val="-2"/>
          <w:sz w:val="28"/>
          <w:szCs w:val="28"/>
          <w:lang w:val="en-US" w:eastAsia="zh-CN"/>
        </w:rPr>
        <w:t>和我市5个重点行业</w:t>
      </w:r>
      <w:r>
        <w:rPr>
          <w:rFonts w:hint="default" w:ascii="Times New Roman" w:hAnsi="Times New Roman" w:eastAsia="宋体" w:cs="Times New Roman"/>
          <w:spacing w:val="-2"/>
          <w:sz w:val="28"/>
          <w:szCs w:val="28"/>
          <w:lang w:eastAsia="zh-CN"/>
        </w:rPr>
        <w:t>的企业，其涉PM、VOCs排放工序按照表</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1</w:t>
      </w:r>
      <w:r>
        <w:rPr>
          <w:rFonts w:hint="default" w:ascii="Times New Roman" w:hAnsi="Times New Roman" w:eastAsia="宋体" w:cs="Times New Roman"/>
          <w:spacing w:val="-2"/>
          <w:sz w:val="28"/>
          <w:szCs w:val="28"/>
          <w:lang w:eastAsia="zh-CN"/>
        </w:rPr>
        <w:t>通用涉PM绩效</w:t>
      </w:r>
      <w:r>
        <w:rPr>
          <w:rFonts w:hint="default" w:ascii="Times New Roman" w:hAnsi="Times New Roman" w:eastAsia="宋体" w:cs="Times New Roman"/>
          <w:spacing w:val="-2"/>
          <w:sz w:val="28"/>
          <w:szCs w:val="28"/>
          <w:lang w:val="en-US" w:eastAsia="zh-CN"/>
        </w:rPr>
        <w:t>分级</w:t>
      </w:r>
      <w:r>
        <w:rPr>
          <w:rFonts w:hint="default" w:ascii="Times New Roman" w:hAnsi="Times New Roman" w:eastAsia="宋体" w:cs="Times New Roman"/>
          <w:spacing w:val="-2"/>
          <w:sz w:val="28"/>
          <w:szCs w:val="28"/>
          <w:lang w:eastAsia="zh-CN"/>
        </w:rPr>
        <w:t>指标、表</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2</w:t>
      </w:r>
      <w:r>
        <w:rPr>
          <w:rFonts w:hint="default" w:ascii="Times New Roman" w:hAnsi="Times New Roman" w:eastAsia="宋体" w:cs="Times New Roman"/>
          <w:spacing w:val="-2"/>
          <w:sz w:val="28"/>
          <w:szCs w:val="28"/>
          <w:lang w:eastAsia="zh-CN"/>
        </w:rPr>
        <w:t>通用涉VOCs绩效</w:t>
      </w:r>
      <w:r>
        <w:rPr>
          <w:rFonts w:hint="default" w:ascii="Times New Roman" w:hAnsi="Times New Roman" w:eastAsia="宋体" w:cs="Times New Roman"/>
          <w:spacing w:val="-2"/>
          <w:sz w:val="28"/>
          <w:szCs w:val="28"/>
          <w:lang w:val="en-US" w:eastAsia="zh-CN"/>
        </w:rPr>
        <w:t>分级</w:t>
      </w:r>
      <w:r>
        <w:rPr>
          <w:rFonts w:hint="default" w:ascii="Times New Roman" w:hAnsi="Times New Roman" w:eastAsia="宋体" w:cs="Times New Roman"/>
          <w:spacing w:val="-2"/>
          <w:sz w:val="28"/>
          <w:szCs w:val="28"/>
          <w:lang w:eastAsia="zh-CN"/>
        </w:rPr>
        <w:t>指标要求实施绩效分级差异化管理。</w:t>
      </w:r>
    </w:p>
    <w:p w14:paraId="340A3504">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p>
    <w:p w14:paraId="4A6C33DE">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p>
    <w:p w14:paraId="154E2F4B">
      <w:pPr>
        <w:spacing w:before="97" w:line="218" w:lineRule="auto"/>
        <w:outlineLvl w:val="1"/>
        <w:rPr>
          <w:rFonts w:hint="default" w:ascii="Times New Roman" w:hAnsi="Times New Roman" w:eastAsia="楷体" w:cs="Times New Roman"/>
          <w:b/>
          <w:bCs/>
          <w:spacing w:val="-10"/>
          <w:sz w:val="30"/>
          <w:szCs w:val="30"/>
          <w:lang w:eastAsia="zh-CN"/>
        </w:rPr>
        <w:sectPr>
          <w:footerReference r:id="rId13" w:type="default"/>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bookmarkStart w:id="80" w:name="_Toc9695"/>
    </w:p>
    <w:p w14:paraId="42C9B8B1">
      <w:pPr>
        <w:spacing w:before="97" w:line="218" w:lineRule="auto"/>
        <w:outlineLvl w:val="1"/>
        <w:rPr>
          <w:rFonts w:hint="default" w:ascii="Times New Roman" w:hAnsi="Times New Roman" w:eastAsia="楷体" w:cs="Times New Roman"/>
          <w:spacing w:val="-10"/>
          <w:sz w:val="30"/>
          <w:szCs w:val="30"/>
          <w:lang w:eastAsia="zh-CN"/>
        </w:rPr>
      </w:pPr>
      <w:bookmarkStart w:id="81" w:name="_Toc29878"/>
      <w:r>
        <w:rPr>
          <w:rFonts w:hint="default" w:ascii="Times New Roman" w:hAnsi="Times New Roman" w:eastAsia="楷体" w:cs="Times New Roman"/>
          <w:b/>
          <w:bCs/>
          <w:spacing w:val="-10"/>
          <w:sz w:val="30"/>
          <w:szCs w:val="30"/>
          <w:lang w:eastAsia="zh-CN"/>
        </w:rPr>
        <w:t>（一）绩效</w:t>
      </w:r>
      <w:r>
        <w:rPr>
          <w:rFonts w:hint="eastAsia" w:ascii="Times New Roman" w:hAnsi="Times New Roman" w:eastAsia="楷体" w:cs="Times New Roman"/>
          <w:b/>
          <w:bCs/>
          <w:spacing w:val="-10"/>
          <w:sz w:val="30"/>
          <w:szCs w:val="30"/>
          <w:lang w:val="en-US" w:eastAsia="zh-CN"/>
        </w:rPr>
        <w:t>分级</w:t>
      </w:r>
      <w:r>
        <w:rPr>
          <w:rFonts w:hint="default" w:ascii="Times New Roman" w:hAnsi="Times New Roman" w:eastAsia="楷体" w:cs="Times New Roman"/>
          <w:b/>
          <w:bCs/>
          <w:spacing w:val="-10"/>
          <w:sz w:val="30"/>
          <w:szCs w:val="30"/>
          <w:lang w:eastAsia="zh-CN"/>
        </w:rPr>
        <w:t>指标</w:t>
      </w:r>
      <w:bookmarkEnd w:id="80"/>
      <w:bookmarkEnd w:id="81"/>
    </w:p>
    <w:p w14:paraId="070436B9">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6</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通用涉PM企业绩效</w:t>
      </w:r>
      <w:r>
        <w:rPr>
          <w:rFonts w:hint="default" w:ascii="Times New Roman" w:hAnsi="Times New Roman" w:eastAsia="宋体" w:cs="Times New Roman"/>
          <w:b/>
          <w:bCs/>
          <w:spacing w:val="-2"/>
          <w:sz w:val="28"/>
          <w:szCs w:val="28"/>
          <w:lang w:val="en-US" w:eastAsia="zh-CN"/>
        </w:rPr>
        <w:t>分级</w:t>
      </w:r>
      <w:r>
        <w:rPr>
          <w:rFonts w:hint="default" w:ascii="Times New Roman" w:hAnsi="Times New Roman" w:eastAsia="宋体" w:cs="Times New Roman"/>
          <w:b/>
          <w:bCs/>
          <w:spacing w:val="-2"/>
          <w:sz w:val="28"/>
          <w:szCs w:val="28"/>
          <w:lang w:eastAsia="zh-CN"/>
        </w:rPr>
        <w:t>指标</w:t>
      </w:r>
    </w:p>
    <w:p w14:paraId="115C6AFC">
      <w:pPr>
        <w:spacing w:line="139" w:lineRule="exact"/>
        <w:rPr>
          <w:rFonts w:hint="default" w:ascii="Times New Roman" w:hAnsi="Times New Roman" w:cs="Times New Roman"/>
        </w:rPr>
      </w:pPr>
    </w:p>
    <w:tbl>
      <w:tblPr>
        <w:tblStyle w:val="12"/>
        <w:tblW w:w="504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5"/>
        <w:gridCol w:w="5066"/>
        <w:gridCol w:w="3818"/>
        <w:gridCol w:w="2875"/>
        <w:gridCol w:w="1332"/>
      </w:tblGrid>
      <w:tr w14:paraId="462A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jc w:val="center"/>
        </w:trPr>
        <w:tc>
          <w:tcPr>
            <w:tcW w:w="350" w:type="pct"/>
            <w:vAlign w:val="center"/>
          </w:tcPr>
          <w:p w14:paraId="23925C0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差异化</w:t>
            </w:r>
            <w:r>
              <w:rPr>
                <w:rFonts w:hint="default" w:ascii="Times New Roman" w:hAnsi="Times New Roman" w:eastAsia="宋体" w:cs="Times New Roman"/>
                <w:b/>
                <w:bCs/>
                <w:spacing w:val="0"/>
                <w:position w:val="0"/>
                <w:sz w:val="21"/>
                <w:szCs w:val="21"/>
              </w:rPr>
              <w:t>指标</w:t>
            </w:r>
          </w:p>
        </w:tc>
        <w:tc>
          <w:tcPr>
            <w:tcW w:w="1799" w:type="pct"/>
            <w:vAlign w:val="center"/>
          </w:tcPr>
          <w:p w14:paraId="0EDD1AF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A级企业</w:t>
            </w:r>
          </w:p>
        </w:tc>
        <w:tc>
          <w:tcPr>
            <w:tcW w:w="1356" w:type="pct"/>
            <w:vAlign w:val="center"/>
          </w:tcPr>
          <w:p w14:paraId="0D0F477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B级企业</w:t>
            </w:r>
          </w:p>
        </w:tc>
        <w:tc>
          <w:tcPr>
            <w:tcW w:w="1020" w:type="pct"/>
            <w:vAlign w:val="center"/>
          </w:tcPr>
          <w:p w14:paraId="1E309E0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C级企业</w:t>
            </w:r>
          </w:p>
        </w:tc>
        <w:tc>
          <w:tcPr>
            <w:tcW w:w="473" w:type="pct"/>
            <w:vAlign w:val="center"/>
          </w:tcPr>
          <w:p w14:paraId="0F99E3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19BE6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43F52B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生产工艺和装备</w:t>
            </w:r>
          </w:p>
        </w:tc>
        <w:tc>
          <w:tcPr>
            <w:tcW w:w="3155" w:type="pct"/>
            <w:gridSpan w:val="2"/>
            <w:vAlign w:val="center"/>
          </w:tcPr>
          <w:p w14:paraId="580B85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不属于《产业结构调整指导目录（2024年版）》淘汰类，不属于省级和市级政府部门明确列入已经限期淘汰类项目。</w:t>
            </w:r>
          </w:p>
        </w:tc>
        <w:tc>
          <w:tcPr>
            <w:tcW w:w="1494" w:type="pct"/>
            <w:gridSpan w:val="2"/>
            <w:vAlign w:val="center"/>
          </w:tcPr>
          <w:p w14:paraId="1232AA7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未达到B级要求</w:t>
            </w:r>
            <w:r>
              <w:rPr>
                <w:rFonts w:hint="default" w:ascii="Times New Roman" w:hAnsi="Times New Roman" w:cs="Times New Roman"/>
                <w:b w:val="0"/>
                <w:bCs w:val="0"/>
                <w:spacing w:val="0"/>
                <w:position w:val="0"/>
                <w:sz w:val="21"/>
                <w:szCs w:val="21"/>
                <w:lang w:eastAsia="zh-CN"/>
              </w:rPr>
              <w:t>。</w:t>
            </w:r>
          </w:p>
        </w:tc>
      </w:tr>
      <w:tr w14:paraId="02683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2E70B12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物料装卸</w:t>
            </w:r>
          </w:p>
        </w:tc>
        <w:tc>
          <w:tcPr>
            <w:tcW w:w="3155" w:type="pct"/>
            <w:gridSpan w:val="2"/>
            <w:vAlign w:val="center"/>
          </w:tcPr>
          <w:p w14:paraId="2758D3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车辆运输的物料应采取封闭措施。粉状、粒状、块状散装物料在封闭料场内装卸</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装卸过程中产尘点应设置集气除尘装置，料堆应采取有效抑尘措施；</w:t>
            </w:r>
          </w:p>
          <w:p w14:paraId="4392DB9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不易产尘的袋装物料宜在料棚中装卸，如需露天装卸应采取防止破袋及粉尘外逸措施。</w:t>
            </w:r>
          </w:p>
        </w:tc>
        <w:tc>
          <w:tcPr>
            <w:tcW w:w="1020" w:type="pct"/>
            <w:vAlign w:val="center"/>
          </w:tcPr>
          <w:p w14:paraId="70AFCE7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至少达到A、B级第1条要求。</w:t>
            </w:r>
          </w:p>
        </w:tc>
        <w:tc>
          <w:tcPr>
            <w:tcW w:w="473" w:type="pct"/>
            <w:vAlign w:val="center"/>
          </w:tcPr>
          <w:p w14:paraId="116BB54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4FDC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14ABB1C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物料储存</w:t>
            </w:r>
          </w:p>
        </w:tc>
        <w:tc>
          <w:tcPr>
            <w:tcW w:w="1799" w:type="pct"/>
            <w:vAlign w:val="center"/>
          </w:tcPr>
          <w:p w14:paraId="20C91D2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粉状物料应储存于密闭/封闭料仓中；粒状、块状物料应储存于封闭料场中，并采取喷淋、清扫或其他有效抑尘措施；袋装物料应储存于封闭料场中。封闭料场顶棚和四周围墙完整，料场内地面全部硬化，料场货物进出大门为硬质材料门或自动感应门，在确保安全的情况下，所有门窗保持常闭状态。不产尘物料（如钢材、管件）及产品如露天储存应在规定的存储区域码放整齐；</w:t>
            </w:r>
          </w:p>
          <w:p w14:paraId="5AE8EC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危险废物</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应有符合规范要求的危险废物储存间，危险废物储存间门口应张贴标准规范的危险废物标识和危废信息板，建立台账并挂于危废间内，危险废物管理台账和危险废物转移情况信息表保存5年以上。危废间内禁止存放除危险废物和应急工具外的其他物品。涉大气污染物排放的，应设置对应污染治理设施。</w:t>
            </w:r>
          </w:p>
        </w:tc>
        <w:tc>
          <w:tcPr>
            <w:tcW w:w="1356" w:type="pct"/>
            <w:vAlign w:val="center"/>
          </w:tcPr>
          <w:p w14:paraId="45CA52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粉状物料应储存于密闭/封闭料仓中；粒状、块状物料应储存于</w:t>
            </w:r>
            <w:r>
              <w:rPr>
                <w:rFonts w:hint="default" w:ascii="Times New Roman" w:hAnsi="Times New Roman" w:cs="Times New Roman"/>
                <w:b w:val="0"/>
                <w:bCs w:val="0"/>
                <w:spacing w:val="0"/>
                <w:position w:val="0"/>
                <w:sz w:val="21"/>
                <w:szCs w:val="21"/>
                <w:lang w:val="en-US" w:eastAsia="zh-CN"/>
              </w:rPr>
              <w:t>半</w:t>
            </w:r>
            <w:r>
              <w:rPr>
                <w:rFonts w:hint="default" w:ascii="Times New Roman" w:hAnsi="Times New Roman" w:eastAsia="宋体" w:cs="Times New Roman"/>
                <w:b w:val="0"/>
                <w:bCs w:val="0"/>
                <w:spacing w:val="0"/>
                <w:position w:val="0"/>
                <w:sz w:val="21"/>
                <w:szCs w:val="21"/>
              </w:rPr>
              <w:t>封闭料场中，并采取喷淋、清扫或其他有效抑尘措施；袋装物料应储存于封闭/半封闭料场中。半封闭</w:t>
            </w:r>
            <w:r>
              <w:rPr>
                <w:rFonts w:hint="default" w:ascii="Times New Roman" w:hAnsi="Times New Roman" w:cs="Times New Roman"/>
                <w:b w:val="0"/>
                <w:bCs w:val="0"/>
                <w:spacing w:val="0"/>
                <w:position w:val="0"/>
                <w:sz w:val="21"/>
                <w:szCs w:val="21"/>
                <w:lang w:val="en-US" w:eastAsia="zh-CN"/>
              </w:rPr>
              <w:t>料场</w:t>
            </w:r>
            <w:r>
              <w:rPr>
                <w:rFonts w:hint="default" w:ascii="Times New Roman" w:hAnsi="Times New Roman" w:eastAsia="宋体" w:cs="Times New Roman"/>
                <w:b w:val="0"/>
                <w:bCs w:val="0"/>
                <w:spacing w:val="0"/>
                <w:position w:val="0"/>
                <w:sz w:val="21"/>
                <w:szCs w:val="21"/>
              </w:rPr>
              <w:t>应至少两面有围墙围挡）及屋顶，料场内地面全部硬化。不产尘物料（如钢材、管件）及产品如露天储存应在规定的存储区域码放整齐；</w:t>
            </w:r>
          </w:p>
          <w:p w14:paraId="3EEADD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val="en-US" w:eastAsia="zh-CN"/>
              </w:rPr>
              <w:t>同A级第2条要求</w:t>
            </w:r>
            <w:r>
              <w:rPr>
                <w:rFonts w:hint="default" w:ascii="Times New Roman" w:hAnsi="Times New Roman" w:eastAsia="宋体" w:cs="Times New Roman"/>
                <w:b w:val="0"/>
                <w:bCs w:val="0"/>
                <w:spacing w:val="0"/>
                <w:position w:val="0"/>
                <w:sz w:val="21"/>
                <w:szCs w:val="21"/>
              </w:rPr>
              <w:t>。</w:t>
            </w:r>
          </w:p>
        </w:tc>
        <w:tc>
          <w:tcPr>
            <w:tcW w:w="1020" w:type="pct"/>
            <w:vAlign w:val="center"/>
          </w:tcPr>
          <w:p w14:paraId="1A80EB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一般物料。粉状物料应储存于密闭/封闭料仓中；粒状、块状物料应储存于</w:t>
            </w:r>
            <w:r>
              <w:rPr>
                <w:rFonts w:hint="default" w:ascii="Times New Roman" w:hAnsi="Times New Roman" w:cs="Times New Roman"/>
                <w:b w:val="0"/>
                <w:bCs w:val="0"/>
                <w:spacing w:val="0"/>
                <w:position w:val="0"/>
                <w:sz w:val="21"/>
                <w:szCs w:val="21"/>
                <w:lang w:val="en-US" w:eastAsia="zh-CN"/>
              </w:rPr>
              <w:t>半</w:t>
            </w:r>
            <w:r>
              <w:rPr>
                <w:rFonts w:hint="default" w:ascii="Times New Roman" w:hAnsi="Times New Roman" w:eastAsia="宋体" w:cs="Times New Roman"/>
                <w:b w:val="0"/>
                <w:bCs w:val="0"/>
                <w:spacing w:val="0"/>
                <w:position w:val="0"/>
                <w:sz w:val="21"/>
                <w:szCs w:val="21"/>
              </w:rPr>
              <w:t>封闭料场中，并采取喷淋、清扫或其他有效抑尘措施；袋装物料应储存于封闭/半封闭料场中。</w:t>
            </w:r>
          </w:p>
          <w:p w14:paraId="520B9D5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eastAsia="zh-CN"/>
              </w:rPr>
              <w:t>危险废物：应有符合规范要求的危险废物储存间，危险废物储存间门口应张贴标准规范的危险废物标识和危废信息板，建立台账并挂于危废间内。危废间内禁止存放除危险废物和应急工具外的其他物品。</w:t>
            </w:r>
          </w:p>
        </w:tc>
        <w:tc>
          <w:tcPr>
            <w:tcW w:w="473" w:type="pct"/>
            <w:vAlign w:val="center"/>
          </w:tcPr>
          <w:p w14:paraId="1C964AB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F46B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7CC078A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物料转移和输送</w:t>
            </w:r>
          </w:p>
        </w:tc>
        <w:tc>
          <w:tcPr>
            <w:tcW w:w="1799" w:type="pct"/>
            <w:vAlign w:val="center"/>
          </w:tcPr>
          <w:p w14:paraId="720E00EC">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粉状、粒状等易产尘物料厂内转移、输送过程应采用气力输送、密闭输送，块状和粘湿粉状物料采用封闭输送；</w:t>
            </w:r>
          </w:p>
          <w:p w14:paraId="016F041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无法封闭的产尘点（物料转载、下料口等）应采取集气除尘措施。</w:t>
            </w:r>
          </w:p>
        </w:tc>
        <w:tc>
          <w:tcPr>
            <w:tcW w:w="1356" w:type="pct"/>
            <w:vAlign w:val="center"/>
          </w:tcPr>
          <w:p w14:paraId="7AB399D7">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粉状、粒状等易产尘物料厂内转移、输送过程应采用气力输送、密闭输送</w:t>
            </w:r>
            <w:r>
              <w:rPr>
                <w:rFonts w:hint="default" w:ascii="Times New Roman" w:hAnsi="Times New Roman" w:cs="Times New Roman"/>
                <w:b w:val="0"/>
                <w:bCs w:val="0"/>
                <w:spacing w:val="0"/>
                <w:position w:val="0"/>
                <w:sz w:val="21"/>
                <w:szCs w:val="21"/>
                <w:lang w:eastAsia="zh-CN"/>
              </w:rPr>
              <w:t>；</w:t>
            </w:r>
          </w:p>
          <w:p w14:paraId="20A94F7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无法封闭的产尘点（物料转载、下料口等）应采取集气除尘措施，或有效抑尘措施。</w:t>
            </w:r>
          </w:p>
        </w:tc>
        <w:tc>
          <w:tcPr>
            <w:tcW w:w="1494" w:type="pct"/>
            <w:gridSpan w:val="2"/>
            <w:vAlign w:val="center"/>
          </w:tcPr>
          <w:p w14:paraId="72D3E983">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085C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506F873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工艺过程</w:t>
            </w:r>
          </w:p>
        </w:tc>
        <w:tc>
          <w:tcPr>
            <w:tcW w:w="3155" w:type="pct"/>
            <w:gridSpan w:val="2"/>
            <w:vAlign w:val="center"/>
          </w:tcPr>
          <w:p w14:paraId="289D714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各种物料破碎、筛分、配料、混料等过程应在封闭厂房内进行，并采取收尘/抑尘措施；</w:t>
            </w:r>
          </w:p>
          <w:p w14:paraId="78759AC7">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破碎筛分设备在进、出料口和配料混料过程等产尘点应设置集气除尘设施。</w:t>
            </w:r>
          </w:p>
        </w:tc>
        <w:tc>
          <w:tcPr>
            <w:tcW w:w="1494" w:type="pct"/>
            <w:gridSpan w:val="2"/>
            <w:vAlign w:val="center"/>
          </w:tcPr>
          <w:p w14:paraId="6C31B7C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19B6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5167F4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成品包装</w:t>
            </w:r>
          </w:p>
        </w:tc>
        <w:tc>
          <w:tcPr>
            <w:tcW w:w="1799" w:type="pct"/>
            <w:vAlign w:val="center"/>
          </w:tcPr>
          <w:p w14:paraId="3B314D1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粉状、粒状产品包装卸料口应完全封闭</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卸料口地面应及时清扫，地面无明显积尘；</w:t>
            </w:r>
          </w:p>
          <w:p w14:paraId="7946FA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各生产工序的车间地面干净，无积料、积灰现象；</w:t>
            </w:r>
          </w:p>
          <w:p w14:paraId="416D963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生产车间不得有可见烟（粉）尘外逸。</w:t>
            </w:r>
          </w:p>
        </w:tc>
        <w:tc>
          <w:tcPr>
            <w:tcW w:w="1356" w:type="pct"/>
            <w:vAlign w:val="center"/>
          </w:tcPr>
          <w:p w14:paraId="007443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粉状、粒状产品包装卸料口应完全封闭，如不能封闭应采取局部集气除尘措施</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卸料口地面应及时清扫，地面无明显积尘；</w:t>
            </w:r>
          </w:p>
          <w:p w14:paraId="2C552EC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val="en-US" w:eastAsia="zh-CN"/>
              </w:rPr>
              <w:t>同A级第2条要求；</w:t>
            </w:r>
          </w:p>
          <w:p w14:paraId="768FC4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r>
              <w:rPr>
                <w:rFonts w:hint="default" w:ascii="Times New Roman" w:hAnsi="Times New Roman" w:eastAsia="宋体" w:cs="Times New Roman"/>
                <w:b w:val="0"/>
                <w:bCs w:val="0"/>
                <w:spacing w:val="0"/>
                <w:position w:val="0"/>
                <w:sz w:val="21"/>
                <w:szCs w:val="21"/>
              </w:rPr>
              <w:t>。</w:t>
            </w:r>
          </w:p>
        </w:tc>
        <w:tc>
          <w:tcPr>
            <w:tcW w:w="1494" w:type="pct"/>
            <w:gridSpan w:val="2"/>
            <w:vAlign w:val="center"/>
          </w:tcPr>
          <w:p w14:paraId="127130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48DC8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57C81B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除尘设施</w:t>
            </w:r>
          </w:p>
        </w:tc>
        <w:tc>
          <w:tcPr>
            <w:tcW w:w="1799" w:type="pct"/>
            <w:vAlign w:val="center"/>
          </w:tcPr>
          <w:p w14:paraId="7DC796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cs="Times New Roman"/>
                <w:b w:val="0"/>
                <w:bCs w:val="0"/>
                <w:spacing w:val="0"/>
                <w:position w:val="0"/>
                <w:sz w:val="21"/>
                <w:szCs w:val="21"/>
                <w:lang w:val="en-US" w:eastAsia="zh-CN"/>
              </w:rPr>
              <w:t>PM处理</w:t>
            </w:r>
            <w:r>
              <w:rPr>
                <w:rFonts w:hint="default" w:ascii="Times New Roman" w:hAnsi="Times New Roman" w:eastAsia="宋体" w:cs="Times New Roman"/>
                <w:b w:val="0"/>
                <w:bCs w:val="0"/>
                <w:spacing w:val="0"/>
                <w:position w:val="0"/>
                <w:sz w:val="21"/>
                <w:szCs w:val="21"/>
              </w:rPr>
              <w:t>采用覆膜袋式除尘器、滤筒除尘器、湿电除尘等除尘技术（除湿电除尘外，设计效率不低于99%）</w:t>
            </w:r>
            <w:r>
              <w:rPr>
                <w:rFonts w:hint="default" w:ascii="Times New Roman" w:hAnsi="Times New Roman" w:cs="Times New Roman"/>
                <w:b w:val="0"/>
                <w:bCs w:val="0"/>
                <w:spacing w:val="0"/>
                <w:position w:val="0"/>
                <w:sz w:val="21"/>
                <w:szCs w:val="21"/>
                <w:lang w:eastAsia="zh-CN"/>
              </w:rPr>
              <w:t>。</w:t>
            </w:r>
          </w:p>
        </w:tc>
        <w:tc>
          <w:tcPr>
            <w:tcW w:w="1356" w:type="pct"/>
            <w:vAlign w:val="center"/>
          </w:tcPr>
          <w:p w14:paraId="22679B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PM处理</w:t>
            </w:r>
            <w:r>
              <w:rPr>
                <w:rFonts w:hint="default" w:ascii="Times New Roman" w:hAnsi="Times New Roman" w:eastAsia="宋体" w:cs="Times New Roman"/>
                <w:b w:val="0"/>
                <w:bCs w:val="0"/>
                <w:spacing w:val="0"/>
                <w:position w:val="0"/>
                <w:sz w:val="21"/>
                <w:szCs w:val="21"/>
              </w:rPr>
              <w:t>采用覆膜袋式除尘器、滤筒除尘器、湿电除尘等除尘技术</w:t>
            </w:r>
            <w:r>
              <w:rPr>
                <w:rFonts w:hint="default" w:ascii="Times New Roman" w:hAnsi="Times New Roman" w:cs="Times New Roman"/>
                <w:b w:val="0"/>
                <w:bCs w:val="0"/>
                <w:spacing w:val="0"/>
                <w:position w:val="0"/>
                <w:sz w:val="21"/>
                <w:szCs w:val="21"/>
                <w:lang w:eastAsia="zh-CN"/>
              </w:rPr>
              <w:t>。</w:t>
            </w:r>
          </w:p>
        </w:tc>
        <w:tc>
          <w:tcPr>
            <w:tcW w:w="1494" w:type="pct"/>
            <w:gridSpan w:val="2"/>
            <w:vAlign w:val="center"/>
          </w:tcPr>
          <w:p w14:paraId="06C79C6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7FA59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0D671AC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799" w:type="pct"/>
            <w:vAlign w:val="center"/>
          </w:tcPr>
          <w:p w14:paraId="11AF10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PM排放限值不高于10mg/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356" w:type="pct"/>
            <w:vAlign w:val="center"/>
          </w:tcPr>
          <w:p w14:paraId="0EC58E3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020" w:type="pct"/>
            <w:vAlign w:val="center"/>
          </w:tcPr>
          <w:p w14:paraId="1FA4AF1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473" w:type="pct"/>
            <w:vAlign w:val="center"/>
          </w:tcPr>
          <w:p w14:paraId="589EE04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35BA4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647F87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w:t>
            </w:r>
          </w:p>
          <w:p w14:paraId="4FE7E4F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管控</w:t>
            </w:r>
          </w:p>
        </w:tc>
        <w:tc>
          <w:tcPr>
            <w:tcW w:w="3155" w:type="pct"/>
            <w:gridSpan w:val="2"/>
            <w:vAlign w:val="center"/>
          </w:tcPr>
          <w:p w14:paraId="23BF623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除尘器应设置密闭灰仓并及时卸灰，除尘灰应通过气力输送、罐车、吨包袋等封闭方式卸灰，不得直接卸落到地面；</w:t>
            </w:r>
          </w:p>
          <w:p w14:paraId="51A596B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除尘灰如果转运应采用气力输送、封闭传送带方式，如果直接外运应采用罐车或袋装后运输，并在装车过程中采取抑尘措施，除尘灰在厂区内应密闭/封闭储存；</w:t>
            </w:r>
          </w:p>
          <w:p w14:paraId="7DD400B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脱硫石膏和脱硫废渣等固体废物在厂区内应封闭储存，在转运过程中应采取封闭抑尘措施并应封闭储存。</w:t>
            </w:r>
          </w:p>
        </w:tc>
        <w:tc>
          <w:tcPr>
            <w:tcW w:w="1020" w:type="pct"/>
            <w:vAlign w:val="center"/>
          </w:tcPr>
          <w:p w14:paraId="50B3A2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至少满足A、B级第1项。</w:t>
            </w:r>
          </w:p>
        </w:tc>
        <w:tc>
          <w:tcPr>
            <w:tcW w:w="473" w:type="pct"/>
            <w:vAlign w:val="center"/>
          </w:tcPr>
          <w:p w14:paraId="6E09078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E670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01BD3A0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lang w:val="en-US" w:eastAsia="zh-CN"/>
              </w:rPr>
            </w:pPr>
            <w:r>
              <w:rPr>
                <w:rFonts w:hint="default" w:ascii="Times New Roman" w:hAnsi="Times New Roman" w:cs="Times New Roman"/>
                <w:b w:val="0"/>
                <w:bCs w:val="0"/>
                <w:spacing w:val="0"/>
                <w:sz w:val="21"/>
                <w:szCs w:val="21"/>
                <w:lang w:val="en-US" w:eastAsia="zh-CN"/>
              </w:rPr>
              <w:t>监控监测水平</w:t>
            </w:r>
          </w:p>
        </w:tc>
        <w:tc>
          <w:tcPr>
            <w:tcW w:w="1799" w:type="pct"/>
            <w:vAlign w:val="center"/>
          </w:tcPr>
          <w:p w14:paraId="33599A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重点排污单位及排污许可重点管理单位主要排放口均需安装CEMS，并按要求与省级主管部门联网，数据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417AFE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企业主要生产设施及环保设施安装</w:t>
            </w:r>
            <w:r>
              <w:rPr>
                <w:rFonts w:hint="default" w:ascii="Times New Roman" w:hAnsi="Times New Roman" w:cs="Times New Roman"/>
                <w:b w:val="0"/>
                <w:bCs w:val="0"/>
                <w:spacing w:val="0"/>
                <w:position w:val="0"/>
                <w:sz w:val="21"/>
                <w:szCs w:val="21"/>
                <w:lang w:val="en-US" w:eastAsia="zh-CN"/>
              </w:rPr>
              <w:t>DCS</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7392256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p>
          <w:p w14:paraId="3D0EACC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厂内未安装在线监控的涉气生产设施主要投料口、料场出入口等易产尘点安装高清视频监控系统，视频监控数据保存6个月以上。</w:t>
            </w:r>
          </w:p>
        </w:tc>
        <w:tc>
          <w:tcPr>
            <w:tcW w:w="1356" w:type="pct"/>
            <w:vAlign w:val="center"/>
          </w:tcPr>
          <w:p w14:paraId="1096DB1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同A级第1条要求；</w:t>
            </w:r>
          </w:p>
          <w:p w14:paraId="48C036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企业环保设施安装</w:t>
            </w:r>
            <w:r>
              <w:rPr>
                <w:rFonts w:hint="default" w:ascii="Times New Roman" w:hAnsi="Times New Roman" w:cs="Times New Roman"/>
                <w:b w:val="0"/>
                <w:bCs w:val="0"/>
                <w:spacing w:val="0"/>
                <w:position w:val="0"/>
                <w:sz w:val="21"/>
                <w:szCs w:val="21"/>
                <w:lang w:val="en-US" w:eastAsia="zh-CN"/>
              </w:rPr>
              <w:t>DCS/PLC</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79D8727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p>
          <w:p w14:paraId="45BD130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同A级第4条要求。</w:t>
            </w:r>
          </w:p>
        </w:tc>
        <w:tc>
          <w:tcPr>
            <w:tcW w:w="1494" w:type="pct"/>
            <w:gridSpan w:val="2"/>
            <w:vAlign w:val="center"/>
          </w:tcPr>
          <w:p w14:paraId="2DD991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1C151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2B30ACA">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p w14:paraId="3A4037C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厂容厂貌</w:t>
            </w:r>
          </w:p>
        </w:tc>
        <w:tc>
          <w:tcPr>
            <w:tcW w:w="3155" w:type="pct"/>
            <w:gridSpan w:val="2"/>
            <w:vAlign w:val="center"/>
          </w:tcPr>
          <w:p w14:paraId="44F9F5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厂区内道路、原辅材料和燃料堆场等路面应硬化；</w:t>
            </w:r>
          </w:p>
          <w:p w14:paraId="52E0CC3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厂区内道路采取定期清扫、洒水等措施，保持清洁，路面无明显可见积尘；</w:t>
            </w:r>
          </w:p>
          <w:p w14:paraId="527B71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其他未利用地优先绿化，或进行硬化，无成片裸露土地。</w:t>
            </w:r>
          </w:p>
        </w:tc>
        <w:tc>
          <w:tcPr>
            <w:tcW w:w="1494" w:type="pct"/>
            <w:gridSpan w:val="2"/>
            <w:vAlign w:val="center"/>
          </w:tcPr>
          <w:p w14:paraId="2120CAD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0A03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restart"/>
            <w:vAlign w:val="center"/>
          </w:tcPr>
          <w:p w14:paraId="3CBE80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环境管理水平</w:t>
            </w:r>
          </w:p>
        </w:tc>
        <w:tc>
          <w:tcPr>
            <w:tcW w:w="4649" w:type="pct"/>
            <w:gridSpan w:val="4"/>
            <w:vAlign w:val="center"/>
          </w:tcPr>
          <w:p w14:paraId="0CA33BB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环保档案齐全：1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环评批复文件；2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排污许可证及季度、年度执行报告；3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竣工验收文件；4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废气治理设施运行管理规程；5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一年内废气监测报告。</w:t>
            </w:r>
          </w:p>
        </w:tc>
      </w:tr>
      <w:tr w14:paraId="7B26B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continue"/>
            <w:vAlign w:val="center"/>
          </w:tcPr>
          <w:p w14:paraId="1FF0B4E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tc>
        <w:tc>
          <w:tcPr>
            <w:tcW w:w="4176" w:type="pct"/>
            <w:gridSpan w:val="3"/>
            <w:vAlign w:val="center"/>
          </w:tcPr>
          <w:p w14:paraId="716786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台账记录：1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生产设施运行管理信息（生产时间、运行负荷、产品产量等）；2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废气污染治理设施运行管理信息（除尘滤料更换量和时间等）；3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监测记录信息（主要污染排放口废气排放手工和在线监测记录等）；4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主要原辅材料消耗记录；5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燃料（天然气、煤等）消耗记录。</w:t>
            </w:r>
          </w:p>
        </w:tc>
        <w:tc>
          <w:tcPr>
            <w:tcW w:w="473" w:type="pct"/>
            <w:vAlign w:val="center"/>
          </w:tcPr>
          <w:p w14:paraId="47BE4A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E13D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continue"/>
            <w:vAlign w:val="center"/>
          </w:tcPr>
          <w:p w14:paraId="0F1577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tc>
        <w:tc>
          <w:tcPr>
            <w:tcW w:w="3155" w:type="pct"/>
            <w:gridSpan w:val="2"/>
            <w:vAlign w:val="center"/>
          </w:tcPr>
          <w:p w14:paraId="771150C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人员配置：设置环保部门，配备专职环保人员，并具备相应的环境管理能力。</w:t>
            </w:r>
          </w:p>
        </w:tc>
        <w:tc>
          <w:tcPr>
            <w:tcW w:w="1494" w:type="pct"/>
            <w:gridSpan w:val="2"/>
            <w:vAlign w:val="center"/>
          </w:tcPr>
          <w:p w14:paraId="73F320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2EFE9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B76199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运输方式</w:t>
            </w:r>
          </w:p>
        </w:tc>
        <w:tc>
          <w:tcPr>
            <w:tcW w:w="1799" w:type="pct"/>
            <w:vAlign w:val="center"/>
          </w:tcPr>
          <w:p w14:paraId="12F248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物料</w:t>
            </w:r>
            <w:r>
              <w:rPr>
                <w:rFonts w:hint="default" w:ascii="Times New Roman" w:hAnsi="Times New Roman" w:cs="Times New Roman"/>
                <w:b w:val="0"/>
                <w:bCs w:val="0"/>
                <w:spacing w:val="0"/>
                <w:sz w:val="21"/>
                <w:szCs w:val="21"/>
                <w:lang w:val="en-US" w:eastAsia="zh-CN"/>
              </w:rPr>
              <w:t>全部采</w:t>
            </w:r>
            <w:r>
              <w:rPr>
                <w:rFonts w:hint="default" w:ascii="Times New Roman" w:hAnsi="Times New Roman" w:eastAsia="宋体" w:cs="Times New Roman"/>
                <w:b w:val="0"/>
                <w:bCs w:val="0"/>
                <w:spacing w:val="0"/>
                <w:sz w:val="21"/>
                <w:szCs w:val="21"/>
              </w:rPr>
              <w:t>用清洁方式（铁路、水路、管道、管状带式输送机、皮带通廊等）、国六及以上排放标准重型载货车辆、纯电或氢燃料电池车辆运输；</w:t>
            </w:r>
          </w:p>
          <w:p w14:paraId="6E92B9E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厂内运输车辆</w:t>
            </w:r>
            <w:r>
              <w:rPr>
                <w:rFonts w:hint="default" w:ascii="Times New Roman" w:hAnsi="Times New Roman" w:cs="Times New Roman"/>
                <w:b w:val="0"/>
                <w:bCs w:val="0"/>
                <w:spacing w:val="0"/>
                <w:sz w:val="21"/>
                <w:szCs w:val="21"/>
                <w:lang w:val="en-US" w:eastAsia="zh-CN"/>
              </w:rPr>
              <w:t>全部</w:t>
            </w:r>
            <w:r>
              <w:rPr>
                <w:rFonts w:hint="default" w:ascii="Times New Roman" w:hAnsi="Times New Roman" w:eastAsia="宋体" w:cs="Times New Roman"/>
                <w:b w:val="0"/>
                <w:bCs w:val="0"/>
                <w:spacing w:val="0"/>
                <w:sz w:val="21"/>
                <w:szCs w:val="21"/>
              </w:rPr>
              <w:t>达到国六及以上排放标准或使用纯电、氢燃料电池车辆</w:t>
            </w:r>
            <w:r>
              <w:rPr>
                <w:rFonts w:hint="default" w:ascii="Times New Roman" w:hAnsi="Times New Roman" w:cs="Times New Roman"/>
                <w:b w:val="0"/>
                <w:bCs w:val="0"/>
                <w:spacing w:val="0"/>
                <w:sz w:val="21"/>
                <w:szCs w:val="21"/>
                <w:lang w:val="en-US" w:eastAsia="zh-CN"/>
              </w:rPr>
              <w:t>运输</w:t>
            </w:r>
            <w:r>
              <w:rPr>
                <w:rFonts w:hint="default" w:ascii="Times New Roman" w:hAnsi="Times New Roman" w:eastAsia="宋体" w:cs="Times New Roman"/>
                <w:b w:val="0"/>
                <w:bCs w:val="0"/>
                <w:spacing w:val="0"/>
                <w:sz w:val="21"/>
                <w:szCs w:val="21"/>
              </w:rPr>
              <w:t>；</w:t>
            </w:r>
          </w:p>
          <w:p w14:paraId="704E3E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厂内非道路移动机械</w:t>
            </w:r>
            <w:r>
              <w:rPr>
                <w:rFonts w:hint="default" w:ascii="Times New Roman" w:hAnsi="Times New Roman" w:cs="Times New Roman"/>
                <w:b w:val="0"/>
                <w:bCs w:val="0"/>
                <w:spacing w:val="0"/>
                <w:sz w:val="21"/>
                <w:szCs w:val="21"/>
                <w:lang w:val="en-US" w:eastAsia="zh-CN"/>
              </w:rPr>
              <w:t>全部使用</w:t>
            </w:r>
            <w:r>
              <w:rPr>
                <w:rFonts w:hint="default" w:ascii="Times New Roman" w:hAnsi="Times New Roman" w:eastAsia="宋体" w:cs="Times New Roman"/>
                <w:b w:val="0"/>
                <w:bCs w:val="0"/>
                <w:spacing w:val="0"/>
                <w:sz w:val="21"/>
                <w:szCs w:val="21"/>
              </w:rPr>
              <w:t>国四及以上排放标准或使用纯电、氢燃料电池机械。</w:t>
            </w:r>
          </w:p>
        </w:tc>
        <w:tc>
          <w:tcPr>
            <w:tcW w:w="1356" w:type="pct"/>
            <w:vAlign w:val="center"/>
          </w:tcPr>
          <w:p w14:paraId="1762E3C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C820F7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597CE7B6">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6E2225D2">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0F902A8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c>
          <w:tcPr>
            <w:tcW w:w="1494" w:type="pct"/>
            <w:gridSpan w:val="2"/>
            <w:vAlign w:val="center"/>
          </w:tcPr>
          <w:p w14:paraId="5B8A656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r>
              <w:rPr>
                <w:rFonts w:hint="default" w:ascii="Times New Roman" w:hAnsi="Times New Roman" w:cs="Times New Roman"/>
                <w:b w:val="0"/>
                <w:bCs w:val="0"/>
                <w:spacing w:val="0"/>
                <w:position w:val="0"/>
                <w:sz w:val="21"/>
                <w:szCs w:val="21"/>
                <w:lang w:val="en-US" w:eastAsia="zh-CN"/>
              </w:rPr>
              <w:t>未达到B级要求。</w:t>
            </w:r>
          </w:p>
        </w:tc>
      </w:tr>
      <w:tr w14:paraId="640CD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73725C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运输监管</w:t>
            </w:r>
          </w:p>
        </w:tc>
        <w:tc>
          <w:tcPr>
            <w:tcW w:w="3155" w:type="pct"/>
            <w:gridSpan w:val="2"/>
            <w:vAlign w:val="center"/>
          </w:tcPr>
          <w:p w14:paraId="7161EA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cs="Times New Roman"/>
                <w:b w:val="0"/>
                <w:bCs w:val="0"/>
                <w:spacing w:val="0"/>
                <w:sz w:val="21"/>
                <w:szCs w:val="21"/>
                <w:lang w:eastAsia="zh-CN"/>
              </w:rPr>
              <w:t>。</w:t>
            </w:r>
          </w:p>
        </w:tc>
        <w:tc>
          <w:tcPr>
            <w:tcW w:w="1494" w:type="pct"/>
            <w:gridSpan w:val="2"/>
            <w:vAlign w:val="center"/>
          </w:tcPr>
          <w:p w14:paraId="2C976D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sz w:val="21"/>
                <w:szCs w:val="21"/>
                <w:lang w:val="en-US" w:eastAsia="zh-CN"/>
              </w:rPr>
            </w:pPr>
            <w:r>
              <w:rPr>
                <w:rFonts w:hint="default" w:ascii="Times New Roman" w:hAnsi="Times New Roman" w:cs="Times New Roman"/>
                <w:b w:val="0"/>
                <w:bCs w:val="0"/>
                <w:spacing w:val="0"/>
                <w:sz w:val="21"/>
                <w:szCs w:val="21"/>
                <w:lang w:val="en-US" w:eastAsia="zh-CN"/>
              </w:rPr>
              <w:t>未达到B级要求。</w:t>
            </w:r>
          </w:p>
        </w:tc>
      </w:tr>
    </w:tbl>
    <w:p w14:paraId="5382309F">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p>
    <w:p w14:paraId="1099488C">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p>
    <w:p w14:paraId="78530434">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6</w:t>
      </w:r>
      <w:r>
        <w:rPr>
          <w:rFonts w:hint="default"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通用涉VOCs企业绩效</w:t>
      </w:r>
      <w:r>
        <w:rPr>
          <w:rFonts w:hint="default" w:ascii="Times New Roman" w:hAnsi="Times New Roman" w:eastAsia="宋体" w:cs="Times New Roman"/>
          <w:b/>
          <w:bCs/>
          <w:spacing w:val="-2"/>
          <w:sz w:val="28"/>
          <w:szCs w:val="28"/>
          <w:lang w:val="en-US" w:eastAsia="zh-CN"/>
        </w:rPr>
        <w:t>分级</w:t>
      </w:r>
      <w:r>
        <w:rPr>
          <w:rFonts w:hint="default" w:ascii="Times New Roman" w:hAnsi="Times New Roman" w:eastAsia="宋体" w:cs="Times New Roman"/>
          <w:b/>
          <w:bCs/>
          <w:spacing w:val="-2"/>
          <w:sz w:val="28"/>
          <w:szCs w:val="28"/>
          <w:lang w:eastAsia="zh-CN"/>
        </w:rPr>
        <w:t>指标</w:t>
      </w:r>
    </w:p>
    <w:p w14:paraId="1C2C19CA">
      <w:pPr>
        <w:spacing w:line="137" w:lineRule="exact"/>
        <w:rPr>
          <w:rFonts w:hint="default" w:ascii="Times New Roman" w:hAnsi="Times New Roman" w:cs="Times New Roman"/>
        </w:rPr>
      </w:pPr>
    </w:p>
    <w:tbl>
      <w:tblPr>
        <w:tblStyle w:val="12"/>
        <w:tblW w:w="502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7"/>
        <w:gridCol w:w="3949"/>
        <w:gridCol w:w="6"/>
        <w:gridCol w:w="4936"/>
        <w:gridCol w:w="2064"/>
        <w:gridCol w:w="2078"/>
      </w:tblGrid>
      <w:tr w14:paraId="63E0B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jc w:val="center"/>
        </w:trPr>
        <w:tc>
          <w:tcPr>
            <w:tcW w:w="352" w:type="pct"/>
            <w:vAlign w:val="center"/>
          </w:tcPr>
          <w:p w14:paraId="1DEC41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差异化</w:t>
            </w:r>
            <w:r>
              <w:rPr>
                <w:rFonts w:hint="default" w:ascii="Times New Roman" w:hAnsi="Times New Roman" w:eastAsia="宋体" w:cs="Times New Roman"/>
                <w:b/>
                <w:bCs/>
                <w:spacing w:val="0"/>
                <w:position w:val="0"/>
                <w:sz w:val="21"/>
                <w:szCs w:val="21"/>
              </w:rPr>
              <w:t>指标</w:t>
            </w:r>
          </w:p>
        </w:tc>
        <w:tc>
          <w:tcPr>
            <w:tcW w:w="1408" w:type="pct"/>
            <w:vAlign w:val="center"/>
          </w:tcPr>
          <w:p w14:paraId="25F4CF5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A级</w:t>
            </w:r>
            <w:r>
              <w:rPr>
                <w:rFonts w:hint="default" w:ascii="Times New Roman" w:hAnsi="Times New Roman" w:eastAsia="宋体" w:cs="Times New Roman"/>
                <w:b/>
                <w:bCs/>
                <w:spacing w:val="0"/>
                <w:position w:val="0"/>
                <w:sz w:val="21"/>
                <w:szCs w:val="21"/>
              </w:rPr>
              <w:t>企业</w:t>
            </w:r>
          </w:p>
        </w:tc>
        <w:tc>
          <w:tcPr>
            <w:tcW w:w="1762" w:type="pct"/>
            <w:gridSpan w:val="2"/>
            <w:vAlign w:val="center"/>
          </w:tcPr>
          <w:p w14:paraId="6848E618">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B级</w:t>
            </w:r>
            <w:r>
              <w:rPr>
                <w:rFonts w:hint="default" w:ascii="Times New Roman" w:hAnsi="Times New Roman" w:eastAsia="宋体" w:cs="Times New Roman"/>
                <w:b/>
                <w:bCs/>
                <w:spacing w:val="0"/>
                <w:position w:val="0"/>
                <w:sz w:val="21"/>
                <w:szCs w:val="21"/>
              </w:rPr>
              <w:t>企业</w:t>
            </w:r>
          </w:p>
        </w:tc>
        <w:tc>
          <w:tcPr>
            <w:tcW w:w="736" w:type="pct"/>
            <w:vAlign w:val="center"/>
          </w:tcPr>
          <w:p w14:paraId="522E30D7">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C级</w:t>
            </w:r>
            <w:r>
              <w:rPr>
                <w:rFonts w:hint="default" w:ascii="Times New Roman" w:hAnsi="Times New Roman" w:eastAsia="宋体" w:cs="Times New Roman"/>
                <w:b/>
                <w:bCs/>
                <w:spacing w:val="0"/>
                <w:position w:val="0"/>
                <w:sz w:val="21"/>
                <w:szCs w:val="21"/>
              </w:rPr>
              <w:t>企业</w:t>
            </w:r>
          </w:p>
        </w:tc>
        <w:tc>
          <w:tcPr>
            <w:tcW w:w="740" w:type="pct"/>
            <w:vAlign w:val="center"/>
          </w:tcPr>
          <w:p w14:paraId="28B50679">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75E8D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3FAA21E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生产工艺和装备</w:t>
            </w:r>
          </w:p>
        </w:tc>
        <w:tc>
          <w:tcPr>
            <w:tcW w:w="3170" w:type="pct"/>
            <w:gridSpan w:val="3"/>
            <w:vAlign w:val="center"/>
          </w:tcPr>
          <w:p w14:paraId="42BD2CC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不属于《产业结构调整指导目录（2024年版）》淘汰类，不属于省级和市级政府部门明确列入已经限期淘汰类项目。</w:t>
            </w:r>
          </w:p>
        </w:tc>
        <w:tc>
          <w:tcPr>
            <w:tcW w:w="1476" w:type="pct"/>
            <w:gridSpan w:val="2"/>
            <w:vAlign w:val="center"/>
          </w:tcPr>
          <w:p w14:paraId="271D57DF">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4456F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281C35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物料储存</w:t>
            </w:r>
          </w:p>
        </w:tc>
        <w:tc>
          <w:tcPr>
            <w:tcW w:w="3170" w:type="pct"/>
            <w:gridSpan w:val="3"/>
            <w:vAlign w:val="center"/>
          </w:tcPr>
          <w:p w14:paraId="050935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涂料、稀释剂、清洗剂等原辅材料密闭存储；</w:t>
            </w:r>
          </w:p>
          <w:p w14:paraId="575FA05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盛装过VOCs物料的包装容器、含VOCs废料（渣、液）、废吸附剂等通过加盖、封装等方式密闭储存；</w:t>
            </w:r>
          </w:p>
          <w:p w14:paraId="55C8E2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生产车间内涉VOCs物料应密闭储存。</w:t>
            </w:r>
          </w:p>
        </w:tc>
        <w:tc>
          <w:tcPr>
            <w:tcW w:w="736" w:type="pct"/>
            <w:vAlign w:val="center"/>
          </w:tcPr>
          <w:p w14:paraId="3F23113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至少满足A、B级第1、3项。</w:t>
            </w:r>
          </w:p>
        </w:tc>
        <w:tc>
          <w:tcPr>
            <w:tcW w:w="740" w:type="pct"/>
            <w:vAlign w:val="center"/>
          </w:tcPr>
          <w:p w14:paraId="14C96FA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A457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385F5E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物料转移和输送</w:t>
            </w:r>
          </w:p>
        </w:tc>
        <w:tc>
          <w:tcPr>
            <w:tcW w:w="3170" w:type="pct"/>
            <w:gridSpan w:val="3"/>
            <w:vAlign w:val="center"/>
          </w:tcPr>
          <w:p w14:paraId="1FC00C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涉VOCs物料采用密闭管道或密闭容器等输送。</w:t>
            </w:r>
          </w:p>
        </w:tc>
        <w:tc>
          <w:tcPr>
            <w:tcW w:w="1476" w:type="pct"/>
            <w:gridSpan w:val="2"/>
            <w:vAlign w:val="center"/>
          </w:tcPr>
          <w:p w14:paraId="0D82C2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0850C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E87F5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工艺过程</w:t>
            </w:r>
          </w:p>
        </w:tc>
        <w:tc>
          <w:tcPr>
            <w:tcW w:w="3170" w:type="pct"/>
            <w:gridSpan w:val="3"/>
            <w:vAlign w:val="center"/>
          </w:tcPr>
          <w:p w14:paraId="59FB4711">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原辅材料调配、使用（施胶、喷涂、干燥等）、回收等过程采用密闭设备或在密闭空间内操作；</w:t>
            </w:r>
          </w:p>
          <w:p w14:paraId="678B82F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涉VOCs原料装卸、储存、转移和输送、工艺过程等环节的废气全部收集引至VOCs处理系统。</w:t>
            </w:r>
          </w:p>
        </w:tc>
        <w:tc>
          <w:tcPr>
            <w:tcW w:w="1476" w:type="pct"/>
            <w:gridSpan w:val="2"/>
            <w:vAlign w:val="center"/>
          </w:tcPr>
          <w:p w14:paraId="6A95CCB9">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B1D9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18EAFE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lang w:val="en-US" w:eastAsia="zh-CN"/>
              </w:rPr>
              <w:t>VOCs治污</w:t>
            </w:r>
          </w:p>
          <w:p w14:paraId="4552271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lang w:val="en-US" w:eastAsia="zh-CN"/>
              </w:rPr>
              <w:t>设施</w:t>
            </w:r>
          </w:p>
        </w:tc>
        <w:tc>
          <w:tcPr>
            <w:tcW w:w="1408" w:type="pct"/>
            <w:vAlign w:val="center"/>
          </w:tcPr>
          <w:p w14:paraId="3A8ABFD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应配置VOCs处理设施，采用冷凝、吸附、吸收、燃烧等多个工艺综合治理，处理效率不应低于95%。</w:t>
            </w:r>
          </w:p>
        </w:tc>
        <w:tc>
          <w:tcPr>
            <w:tcW w:w="1762" w:type="pct"/>
            <w:gridSpan w:val="2"/>
            <w:vAlign w:val="center"/>
          </w:tcPr>
          <w:p w14:paraId="3CA8754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应配置VOCs处理设施，采用冷凝、吸附、吸收、燃烧等多个工艺综合治理，处理效率不应低于85%。</w:t>
            </w:r>
          </w:p>
        </w:tc>
        <w:tc>
          <w:tcPr>
            <w:tcW w:w="736" w:type="pct"/>
            <w:vAlign w:val="center"/>
          </w:tcPr>
          <w:p w14:paraId="7DDE567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cs="Times New Roman"/>
                <w:b w:val="0"/>
                <w:bCs w:val="0"/>
                <w:spacing w:val="0"/>
                <w:position w:val="0"/>
                <w:sz w:val="21"/>
                <w:szCs w:val="21"/>
                <w:lang w:val="en-US" w:eastAsia="zh-CN"/>
              </w:rPr>
              <w:t>处理效率不应低于80%。</w:t>
            </w:r>
          </w:p>
        </w:tc>
        <w:tc>
          <w:tcPr>
            <w:tcW w:w="740" w:type="pct"/>
            <w:vAlign w:val="center"/>
          </w:tcPr>
          <w:p w14:paraId="140D998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9FB6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96B67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408" w:type="pct"/>
            <w:vAlign w:val="center"/>
          </w:tcPr>
          <w:p w14:paraId="08FE91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NMHC排放限值不高于30mg/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762" w:type="pct"/>
            <w:gridSpan w:val="2"/>
            <w:vAlign w:val="center"/>
          </w:tcPr>
          <w:p w14:paraId="4C3E60F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736" w:type="pct"/>
            <w:vAlign w:val="center"/>
          </w:tcPr>
          <w:p w14:paraId="5DC156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740" w:type="pct"/>
            <w:vAlign w:val="center"/>
          </w:tcPr>
          <w:p w14:paraId="0117982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20853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D7F422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1410" w:type="pct"/>
            <w:gridSpan w:val="2"/>
            <w:tcBorders>
              <w:right w:val="single" w:color="auto" w:sz="4" w:space="0"/>
            </w:tcBorders>
            <w:vAlign w:val="center"/>
          </w:tcPr>
          <w:p w14:paraId="6A4166E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cs="Times New Roman"/>
                <w:b w:val="0"/>
                <w:bCs w:val="0"/>
                <w:snapToGrid w:val="0"/>
                <w:color w:val="000000"/>
                <w:spacing w:val="0"/>
                <w:kern w:val="0"/>
                <w:position w:val="0"/>
                <w:sz w:val="21"/>
                <w:szCs w:val="21"/>
                <w:lang w:val="en-US" w:eastAsia="zh-CN" w:bidi="ar-SA"/>
              </w:rPr>
              <w:t>重点排污单位风量大于10000m³/h的主要排放口安装NMHC在线监测设施（FID检测器）并按要求联网，CEMS相关数据</w:t>
            </w:r>
            <w:r>
              <w:rPr>
                <w:rFonts w:hint="eastAsia" w:ascii="Times New Roman" w:hAnsi="Times New Roman" w:cs="Times New Roman"/>
                <w:b w:val="0"/>
                <w:bCs w:val="0"/>
                <w:snapToGrid w:val="0"/>
                <w:color w:val="000000"/>
                <w:spacing w:val="0"/>
                <w:kern w:val="0"/>
                <w:position w:val="0"/>
                <w:sz w:val="21"/>
                <w:szCs w:val="21"/>
                <w:lang w:val="en-US" w:eastAsia="zh-CN" w:bidi="ar-SA"/>
              </w:rPr>
              <w:t>至少要保存一年</w:t>
            </w:r>
            <w:r>
              <w:rPr>
                <w:rFonts w:hint="default" w:ascii="Times New Roman" w:hAnsi="Times New Roman" w:cs="Times New Roman"/>
                <w:b w:val="0"/>
                <w:bCs w:val="0"/>
                <w:snapToGrid w:val="0"/>
                <w:color w:val="000000"/>
                <w:spacing w:val="0"/>
                <w:kern w:val="0"/>
                <w:position w:val="0"/>
                <w:sz w:val="21"/>
                <w:szCs w:val="21"/>
                <w:lang w:val="en-US" w:eastAsia="zh-CN" w:bidi="ar-SA"/>
              </w:rPr>
              <w:t>；</w:t>
            </w:r>
          </w:p>
          <w:p w14:paraId="637DF04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cs="Times New Roman"/>
                <w:b w:val="0"/>
                <w:bCs w:val="0"/>
                <w:snapToGrid w:val="0"/>
                <w:color w:val="000000"/>
                <w:spacing w:val="0"/>
                <w:kern w:val="0"/>
                <w:position w:val="0"/>
                <w:sz w:val="21"/>
                <w:szCs w:val="21"/>
                <w:lang w:val="en-US" w:eastAsia="zh-CN" w:bidi="ar-SA"/>
              </w:rPr>
              <w:t>厂内未安装在线监控的涉气生产设施主要投料口、料场出入口等易产尘点安装高清视频监控系统，视频监控数据保存6个月以上；</w:t>
            </w:r>
          </w:p>
          <w:p w14:paraId="2B88A3C8">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3.</w:t>
            </w:r>
            <w:r>
              <w:rPr>
                <w:rFonts w:hint="default" w:ascii="Times New Roman" w:hAnsi="Times New Roman" w:cs="Times New Roman"/>
                <w:b w:val="0"/>
                <w:bCs w:val="0"/>
                <w:snapToGrid w:val="0"/>
                <w:color w:val="000000"/>
                <w:spacing w:val="0"/>
                <w:kern w:val="0"/>
                <w:position w:val="0"/>
                <w:sz w:val="21"/>
                <w:szCs w:val="21"/>
                <w:lang w:val="en-US" w:eastAsia="zh-CN" w:bidi="ar-SA"/>
              </w:rPr>
              <w:t>生产装置（涉及易燃易爆危险化学品）及环保治理设施安装DCS，记录企业环保设施运行主要参数，DCS监控数据至少保存一年。</w:t>
            </w:r>
          </w:p>
          <w:p w14:paraId="3A82278C">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4.</w:t>
            </w:r>
            <w:r>
              <w:rPr>
                <w:rFonts w:hint="default" w:ascii="Times New Roman" w:hAnsi="Times New Roman" w:cs="Times New Roman"/>
                <w:b w:val="0"/>
                <w:bCs w:val="0"/>
                <w:snapToGrid w:val="0"/>
                <w:color w:val="000000"/>
                <w:spacing w:val="0"/>
                <w:kern w:val="0"/>
                <w:position w:val="0"/>
                <w:sz w:val="21"/>
                <w:szCs w:val="21"/>
                <w:lang w:val="en-US" w:eastAsia="zh-CN" w:bidi="ar-SA"/>
              </w:rPr>
              <w:t>主要涉气生产装置及污染治理设施按要求安装用电监管设备，实现分表计电，用电监管数据按要求与省级主管部门用电监管平台联网。</w:t>
            </w:r>
          </w:p>
        </w:tc>
        <w:tc>
          <w:tcPr>
            <w:tcW w:w="1760" w:type="pct"/>
            <w:tcBorders>
              <w:left w:val="single" w:color="auto" w:sz="4" w:space="0"/>
            </w:tcBorders>
            <w:vAlign w:val="center"/>
          </w:tcPr>
          <w:p w14:paraId="6E07B42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同A级第1条要求；</w:t>
            </w:r>
          </w:p>
          <w:p w14:paraId="628A4C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企业环保设施安装</w:t>
            </w:r>
            <w:r>
              <w:rPr>
                <w:rFonts w:hint="default" w:ascii="Times New Roman" w:hAnsi="Times New Roman" w:cs="Times New Roman"/>
                <w:b w:val="0"/>
                <w:bCs w:val="0"/>
                <w:spacing w:val="0"/>
                <w:position w:val="0"/>
                <w:sz w:val="21"/>
                <w:szCs w:val="21"/>
                <w:lang w:val="en-US" w:eastAsia="zh-CN"/>
              </w:rPr>
              <w:t>DCS/PLC</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5DBFCAF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p>
          <w:p w14:paraId="518C3F0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eastAsia"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同A级第4条要求。</w:t>
            </w:r>
          </w:p>
        </w:tc>
        <w:tc>
          <w:tcPr>
            <w:tcW w:w="736" w:type="pct"/>
            <w:vAlign w:val="center"/>
          </w:tcPr>
          <w:p w14:paraId="2832B49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至少满足A、B级第1、4项。</w:t>
            </w:r>
          </w:p>
        </w:tc>
        <w:tc>
          <w:tcPr>
            <w:tcW w:w="740" w:type="pct"/>
            <w:vAlign w:val="center"/>
          </w:tcPr>
          <w:p w14:paraId="6421EDFE">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06E5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6FC629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厂容厂貌</w:t>
            </w:r>
          </w:p>
        </w:tc>
        <w:tc>
          <w:tcPr>
            <w:tcW w:w="3170" w:type="pct"/>
            <w:gridSpan w:val="3"/>
            <w:vAlign w:val="center"/>
          </w:tcPr>
          <w:p w14:paraId="6822D47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厂区内道路、原辅材料和燃料堆场等路面应硬化；</w:t>
            </w:r>
          </w:p>
          <w:p w14:paraId="70E272D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厂区内道路采取定期清扫、洒水等措施，保持清洁，路面无明显可见积尘；</w:t>
            </w:r>
          </w:p>
          <w:p w14:paraId="54E25E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其他未利用地优先绿化，或进行硬化，无成片裸露土地。</w:t>
            </w:r>
          </w:p>
        </w:tc>
        <w:tc>
          <w:tcPr>
            <w:tcW w:w="1476" w:type="pct"/>
            <w:gridSpan w:val="2"/>
            <w:vAlign w:val="center"/>
          </w:tcPr>
          <w:p w14:paraId="621A0C6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578B8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restart"/>
            <w:vAlign w:val="center"/>
          </w:tcPr>
          <w:p w14:paraId="6A57353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4647" w:type="pct"/>
            <w:gridSpan w:val="5"/>
            <w:vAlign w:val="center"/>
          </w:tcPr>
          <w:p w14:paraId="231B15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环保档案齐全：1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环评批复文件；2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排污许可证及季度、年度执行报告；3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竣工验收文件；4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废气治理设施运行管理规程；5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一年内废气监测报告。</w:t>
            </w:r>
          </w:p>
        </w:tc>
      </w:tr>
      <w:tr w14:paraId="0662B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continue"/>
            <w:vAlign w:val="center"/>
          </w:tcPr>
          <w:p w14:paraId="7FBC597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3170" w:type="pct"/>
            <w:gridSpan w:val="3"/>
            <w:vAlign w:val="center"/>
          </w:tcPr>
          <w:p w14:paraId="374FD5A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台账记录：1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生产设施运行管理信息（生产时间、运行负荷、产品产量等）；2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废气污染治理设施运行管理信息（除尘滤料</w:t>
            </w:r>
            <w:r>
              <w:rPr>
                <w:rFonts w:hint="default" w:ascii="Times New Roman" w:hAnsi="Times New Roman" w:cs="Times New Roman"/>
                <w:b w:val="0"/>
                <w:bCs w:val="0"/>
                <w:spacing w:val="0"/>
                <w:sz w:val="21"/>
                <w:szCs w:val="21"/>
                <w:lang w:eastAsia="zh-CN"/>
              </w:rPr>
              <w:t>、</w:t>
            </w:r>
            <w:r>
              <w:rPr>
                <w:rFonts w:hint="default" w:ascii="Times New Roman" w:hAnsi="Times New Roman" w:cs="Times New Roman"/>
                <w:b w:val="0"/>
                <w:bCs w:val="0"/>
                <w:spacing w:val="0"/>
                <w:sz w:val="21"/>
                <w:szCs w:val="21"/>
                <w:lang w:val="en-US" w:eastAsia="zh-CN"/>
              </w:rPr>
              <w:t>活性炭等</w:t>
            </w:r>
            <w:r>
              <w:rPr>
                <w:rFonts w:hint="default" w:ascii="Times New Roman" w:hAnsi="Times New Roman" w:eastAsia="宋体" w:cs="Times New Roman"/>
                <w:b w:val="0"/>
                <w:bCs w:val="0"/>
                <w:spacing w:val="0"/>
                <w:sz w:val="21"/>
                <w:szCs w:val="21"/>
              </w:rPr>
              <w:t>更换量和时间等）；3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监测记录信息（主要污染排放口废气排放手工和在线监测记录等）；4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主要原辅材料消耗记录；5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燃料（天然气、煤等）消耗记录。</w:t>
            </w:r>
          </w:p>
        </w:tc>
        <w:tc>
          <w:tcPr>
            <w:tcW w:w="736" w:type="pct"/>
            <w:vAlign w:val="center"/>
          </w:tcPr>
          <w:p w14:paraId="56DB3E6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cs="Times New Roman"/>
                <w:b w:val="0"/>
                <w:bCs w:val="0"/>
                <w:spacing w:val="0"/>
                <w:position w:val="0"/>
                <w:sz w:val="21"/>
                <w:szCs w:val="21"/>
                <w:lang w:val="en-US" w:eastAsia="zh-CN"/>
              </w:rPr>
              <w:t>至少满足A、B级第1、2、3项。</w:t>
            </w:r>
          </w:p>
        </w:tc>
        <w:tc>
          <w:tcPr>
            <w:tcW w:w="740" w:type="pct"/>
            <w:vAlign w:val="center"/>
          </w:tcPr>
          <w:p w14:paraId="046F874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6BD8E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continue"/>
            <w:vAlign w:val="center"/>
          </w:tcPr>
          <w:p w14:paraId="19D3BF9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3170" w:type="pct"/>
            <w:gridSpan w:val="3"/>
            <w:vAlign w:val="center"/>
          </w:tcPr>
          <w:p w14:paraId="460A453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人员配置：设置环保部门，配备专职环保人员，并具备相应的环境管理能力。</w:t>
            </w:r>
          </w:p>
        </w:tc>
        <w:tc>
          <w:tcPr>
            <w:tcW w:w="1476" w:type="pct"/>
            <w:gridSpan w:val="2"/>
            <w:vAlign w:val="center"/>
          </w:tcPr>
          <w:p w14:paraId="44DF2C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31954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23E1DF9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运输方式</w:t>
            </w:r>
          </w:p>
        </w:tc>
        <w:tc>
          <w:tcPr>
            <w:tcW w:w="1408" w:type="pct"/>
            <w:vAlign w:val="center"/>
          </w:tcPr>
          <w:p w14:paraId="4D9818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物料</w:t>
            </w:r>
            <w:r>
              <w:rPr>
                <w:rFonts w:hint="default" w:ascii="Times New Roman" w:hAnsi="Times New Roman" w:cs="Times New Roman"/>
                <w:b w:val="0"/>
                <w:bCs w:val="0"/>
                <w:spacing w:val="0"/>
                <w:sz w:val="21"/>
                <w:szCs w:val="21"/>
                <w:lang w:val="en-US" w:eastAsia="zh-CN"/>
              </w:rPr>
              <w:t>全部采</w:t>
            </w:r>
            <w:r>
              <w:rPr>
                <w:rFonts w:hint="default" w:ascii="Times New Roman" w:hAnsi="Times New Roman" w:eastAsia="宋体" w:cs="Times New Roman"/>
                <w:b w:val="0"/>
                <w:bCs w:val="0"/>
                <w:spacing w:val="0"/>
                <w:sz w:val="21"/>
                <w:szCs w:val="21"/>
              </w:rPr>
              <w:t>用清洁方式（铁路、水路、管道、管状带式输送机、皮带通廊等）、国六及以上排放标准重型载货车辆、纯电或氢燃料电池车辆运输；</w:t>
            </w:r>
          </w:p>
          <w:p w14:paraId="12FADA4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厂内运输车辆</w:t>
            </w:r>
            <w:r>
              <w:rPr>
                <w:rFonts w:hint="default" w:ascii="Times New Roman" w:hAnsi="Times New Roman" w:cs="Times New Roman"/>
                <w:b w:val="0"/>
                <w:bCs w:val="0"/>
                <w:spacing w:val="0"/>
                <w:sz w:val="21"/>
                <w:szCs w:val="21"/>
                <w:lang w:val="en-US" w:eastAsia="zh-CN"/>
              </w:rPr>
              <w:t>全部</w:t>
            </w:r>
            <w:r>
              <w:rPr>
                <w:rFonts w:hint="default" w:ascii="Times New Roman" w:hAnsi="Times New Roman" w:eastAsia="宋体" w:cs="Times New Roman"/>
                <w:b w:val="0"/>
                <w:bCs w:val="0"/>
                <w:spacing w:val="0"/>
                <w:sz w:val="21"/>
                <w:szCs w:val="21"/>
              </w:rPr>
              <w:t>达到国六及以上排放标准或使用纯电、氢燃料电池车辆</w:t>
            </w:r>
            <w:r>
              <w:rPr>
                <w:rFonts w:hint="default" w:ascii="Times New Roman" w:hAnsi="Times New Roman" w:cs="Times New Roman"/>
                <w:b w:val="0"/>
                <w:bCs w:val="0"/>
                <w:spacing w:val="0"/>
                <w:sz w:val="21"/>
                <w:szCs w:val="21"/>
                <w:lang w:val="en-US" w:eastAsia="zh-CN"/>
              </w:rPr>
              <w:t>运输</w:t>
            </w:r>
            <w:r>
              <w:rPr>
                <w:rFonts w:hint="default" w:ascii="Times New Roman" w:hAnsi="Times New Roman" w:eastAsia="宋体" w:cs="Times New Roman"/>
                <w:b w:val="0"/>
                <w:bCs w:val="0"/>
                <w:spacing w:val="0"/>
                <w:sz w:val="21"/>
                <w:szCs w:val="21"/>
              </w:rPr>
              <w:t>；</w:t>
            </w:r>
          </w:p>
          <w:p w14:paraId="5D7B2E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厂内非道路移动机械</w:t>
            </w:r>
            <w:r>
              <w:rPr>
                <w:rFonts w:hint="default" w:ascii="Times New Roman" w:hAnsi="Times New Roman" w:cs="Times New Roman"/>
                <w:b w:val="0"/>
                <w:bCs w:val="0"/>
                <w:spacing w:val="0"/>
                <w:sz w:val="21"/>
                <w:szCs w:val="21"/>
                <w:lang w:val="en-US" w:eastAsia="zh-CN"/>
              </w:rPr>
              <w:t>全部使用</w:t>
            </w:r>
            <w:r>
              <w:rPr>
                <w:rFonts w:hint="default" w:ascii="Times New Roman" w:hAnsi="Times New Roman" w:eastAsia="宋体" w:cs="Times New Roman"/>
                <w:b w:val="0"/>
                <w:bCs w:val="0"/>
                <w:spacing w:val="0"/>
                <w:sz w:val="21"/>
                <w:szCs w:val="21"/>
              </w:rPr>
              <w:t>国四及以上排放标准或使用纯电、氢燃料电池机械。</w:t>
            </w:r>
          </w:p>
        </w:tc>
        <w:tc>
          <w:tcPr>
            <w:tcW w:w="1762" w:type="pct"/>
            <w:gridSpan w:val="2"/>
            <w:vAlign w:val="center"/>
          </w:tcPr>
          <w:p w14:paraId="3FAD63C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03B6E39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74CC6453">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0C0F25F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B8B7A7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c>
          <w:tcPr>
            <w:tcW w:w="1476" w:type="pct"/>
            <w:gridSpan w:val="2"/>
            <w:vAlign w:val="center"/>
          </w:tcPr>
          <w:p w14:paraId="700906DA">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default" w:ascii="Times New Roman" w:hAnsi="Times New Roman" w:cs="Times New Roman"/>
                <w:b w:val="0"/>
                <w:bCs w:val="0"/>
                <w:spacing w:val="0"/>
                <w:position w:val="0"/>
                <w:sz w:val="21"/>
                <w:szCs w:val="21"/>
                <w:lang w:val="en-US" w:eastAsia="zh-CN"/>
              </w:rPr>
              <w:t>未达到B级要求。</w:t>
            </w:r>
          </w:p>
          <w:p w14:paraId="3725DBD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r>
      <w:tr w14:paraId="4BA09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4C1ACD6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运输监管</w:t>
            </w:r>
          </w:p>
        </w:tc>
        <w:tc>
          <w:tcPr>
            <w:tcW w:w="3170" w:type="pct"/>
            <w:gridSpan w:val="3"/>
            <w:vAlign w:val="center"/>
          </w:tcPr>
          <w:p w14:paraId="5ED2013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参照《重污染天气重点行业移动源应急管理技术指南》建立门禁视频监控系统和电子台账，门禁视频监控系统与省级移动源监管平台联网。</w:t>
            </w:r>
          </w:p>
        </w:tc>
        <w:tc>
          <w:tcPr>
            <w:tcW w:w="1476" w:type="pct"/>
            <w:gridSpan w:val="2"/>
            <w:vAlign w:val="center"/>
          </w:tcPr>
          <w:p w14:paraId="739D047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bl>
    <w:p w14:paraId="09D462E9">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562" w:firstLineChars="200"/>
        <w:textAlignment w:val="baseline"/>
        <w:outlineLvl w:val="1"/>
        <w:rPr>
          <w:rFonts w:hint="default" w:ascii="Times New Roman" w:hAnsi="Times New Roman" w:eastAsia="楷体" w:cs="Times New Roman"/>
          <w:b/>
          <w:bCs/>
          <w:spacing w:val="-10"/>
          <w:sz w:val="30"/>
          <w:szCs w:val="30"/>
          <w:lang w:eastAsia="zh-C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bookmarkStart w:id="82" w:name="_Toc22904"/>
    </w:p>
    <w:p w14:paraId="401B5065">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83" w:name="_Toc21922"/>
      <w:r>
        <w:rPr>
          <w:rFonts w:hint="default" w:ascii="Times New Roman" w:hAnsi="Times New Roman" w:eastAsia="楷体" w:cs="Times New Roman"/>
          <w:b/>
          <w:bCs/>
          <w:spacing w:val="-10"/>
          <w:sz w:val="30"/>
          <w:szCs w:val="30"/>
          <w:lang w:eastAsia="zh-CN"/>
        </w:rPr>
        <w:t>（二）减排措施</w:t>
      </w:r>
      <w:bookmarkEnd w:id="82"/>
      <w:bookmarkEnd w:id="83"/>
    </w:p>
    <w:p w14:paraId="410BF7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A级</w:t>
      </w:r>
      <w:r>
        <w:rPr>
          <w:rFonts w:hint="default" w:ascii="Times New Roman" w:hAnsi="Times New Roman" w:eastAsia="宋体" w:cs="Times New Roman"/>
          <w:b/>
          <w:bCs/>
          <w:spacing w:val="-2"/>
          <w:sz w:val="28"/>
          <w:szCs w:val="28"/>
          <w:lang w:eastAsia="zh-CN"/>
        </w:rPr>
        <w:t>企业</w:t>
      </w:r>
    </w:p>
    <w:p w14:paraId="56F4A1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69C352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B级</w:t>
      </w:r>
      <w:r>
        <w:rPr>
          <w:rFonts w:hint="default" w:ascii="Times New Roman" w:hAnsi="Times New Roman" w:eastAsia="宋体" w:cs="Times New Roman"/>
          <w:b/>
          <w:bCs/>
          <w:spacing w:val="-2"/>
          <w:sz w:val="28"/>
          <w:szCs w:val="28"/>
          <w:lang w:eastAsia="zh-CN"/>
        </w:rPr>
        <w:t>企业</w:t>
      </w:r>
    </w:p>
    <w:p w14:paraId="4005EC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黄色预警期间：停止使用国五及以下重型载货车辆进行运输，停止使用国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1BB5DD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w:t>
      </w:r>
      <w:r>
        <w:rPr>
          <w:rFonts w:hint="default" w:ascii="Times New Roman" w:hAnsi="Times New Roman" w:eastAsia="宋体" w:cs="Times New Roman"/>
          <w:spacing w:val="-2"/>
          <w:sz w:val="28"/>
          <w:szCs w:val="28"/>
          <w:lang w:val="en-US" w:eastAsia="zh-CN"/>
        </w:rPr>
        <w:t>涉气工序限产30%，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9C4EA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红色</w:t>
      </w:r>
      <w:r>
        <w:rPr>
          <w:rFonts w:hint="default" w:ascii="Times New Roman" w:hAnsi="Times New Roman" w:eastAsia="宋体" w:cs="Times New Roman"/>
          <w:spacing w:val="-2"/>
          <w:sz w:val="28"/>
          <w:szCs w:val="28"/>
          <w:lang w:eastAsia="zh-CN"/>
        </w:rPr>
        <w:t>预警期间：</w:t>
      </w:r>
      <w:r>
        <w:rPr>
          <w:rFonts w:hint="default" w:ascii="Times New Roman" w:hAnsi="Times New Roman" w:eastAsia="宋体" w:cs="Times New Roman"/>
          <w:spacing w:val="-2"/>
          <w:sz w:val="28"/>
          <w:szCs w:val="28"/>
          <w:lang w:val="en-US" w:eastAsia="zh-CN"/>
        </w:rPr>
        <w:t>涉气工序限产50%，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94DEF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3.</w:t>
      </w:r>
      <w:r>
        <w:rPr>
          <w:rFonts w:hint="default" w:ascii="Times New Roman" w:hAnsi="Times New Roman" w:eastAsia="宋体" w:cs="Times New Roman"/>
          <w:b/>
          <w:bCs/>
          <w:spacing w:val="-2"/>
          <w:sz w:val="28"/>
          <w:szCs w:val="28"/>
          <w:lang w:val="en-US" w:eastAsia="zh-CN"/>
        </w:rPr>
        <w:t>C级</w:t>
      </w:r>
      <w:r>
        <w:rPr>
          <w:rFonts w:hint="default" w:ascii="Times New Roman" w:hAnsi="Times New Roman" w:eastAsia="宋体" w:cs="Times New Roman"/>
          <w:b/>
          <w:bCs/>
          <w:spacing w:val="-2"/>
          <w:sz w:val="28"/>
          <w:szCs w:val="28"/>
          <w:lang w:eastAsia="zh-CN"/>
        </w:rPr>
        <w:t>企业</w:t>
      </w:r>
    </w:p>
    <w:p w14:paraId="40F7B4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w:t>
      </w:r>
      <w:r>
        <w:rPr>
          <w:rFonts w:hint="default" w:ascii="Times New Roman" w:hAnsi="Times New Roman" w:eastAsia="宋体" w:cs="Times New Roman"/>
          <w:spacing w:val="-2"/>
          <w:sz w:val="28"/>
          <w:szCs w:val="28"/>
          <w:lang w:val="en-US" w:eastAsia="zh-CN"/>
        </w:rPr>
        <w:t>涉气工序限产30%，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p>
    <w:p w14:paraId="1E50B0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w:t>
      </w:r>
      <w:r>
        <w:rPr>
          <w:rFonts w:hint="default" w:ascii="Times New Roman" w:hAnsi="Times New Roman" w:eastAsia="宋体" w:cs="Times New Roman"/>
          <w:spacing w:val="-2"/>
          <w:sz w:val="28"/>
          <w:szCs w:val="28"/>
          <w:lang w:val="en-US" w:eastAsia="zh-CN"/>
        </w:rPr>
        <w:t>涉气工序限产50%，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26FF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红色</w:t>
      </w:r>
      <w:r>
        <w:rPr>
          <w:rFonts w:hint="default" w:ascii="Times New Roman" w:hAnsi="Times New Roman" w:eastAsia="宋体" w:cs="Times New Roman"/>
          <w:spacing w:val="-2"/>
          <w:sz w:val="28"/>
          <w:szCs w:val="28"/>
          <w:lang w:eastAsia="zh-CN"/>
        </w:rPr>
        <w:t>预警期间：涉气工序停产；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7FA210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D级</w:t>
      </w:r>
      <w:r>
        <w:rPr>
          <w:rFonts w:hint="default" w:ascii="Times New Roman" w:hAnsi="Times New Roman" w:eastAsia="宋体" w:cs="Times New Roman"/>
          <w:b/>
          <w:bCs/>
          <w:spacing w:val="-2"/>
          <w:sz w:val="28"/>
          <w:szCs w:val="28"/>
          <w:lang w:eastAsia="zh-CN"/>
        </w:rPr>
        <w:t>企业</w:t>
      </w:r>
    </w:p>
    <w:p w14:paraId="50DCFF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w:t>
      </w:r>
      <w:r>
        <w:rPr>
          <w:rFonts w:hint="default" w:ascii="Times New Roman" w:hAnsi="Times New Roman" w:eastAsia="宋体" w:cs="Times New Roman"/>
          <w:spacing w:val="-2"/>
          <w:sz w:val="28"/>
          <w:szCs w:val="28"/>
          <w:lang w:eastAsia="zh-CN"/>
        </w:rPr>
        <w:t>涉气工序停产；</w:t>
      </w:r>
      <w:r>
        <w:rPr>
          <w:rFonts w:hint="default" w:ascii="Times New Roman" w:hAnsi="Times New Roman" w:eastAsia="宋体" w:cs="Times New Roman"/>
          <w:spacing w:val="-2"/>
          <w:sz w:val="28"/>
          <w:szCs w:val="28"/>
        </w:rPr>
        <w:t>停止除纯电、氢燃料电池以外的运输车辆和非道路移动机械。</w:t>
      </w:r>
    </w:p>
    <w:p w14:paraId="71BE84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1"/>
        <w:rPr>
          <w:rFonts w:hint="default" w:ascii="Times New Roman" w:hAnsi="Times New Roman" w:eastAsia="宋体" w:cs="Times New Roman"/>
          <w:b/>
          <w:bCs/>
          <w:spacing w:val="-2"/>
          <w:sz w:val="28"/>
          <w:szCs w:val="28"/>
          <w:lang w:eastAsia="zh-CN"/>
        </w:rPr>
      </w:pPr>
      <w:bookmarkStart w:id="84" w:name="_Toc24353"/>
      <w:bookmarkStart w:id="85" w:name="_Toc2052"/>
      <w:r>
        <w:rPr>
          <w:rFonts w:hint="default" w:ascii="Times New Roman" w:hAnsi="Times New Roman" w:eastAsia="宋体" w:cs="Times New Roman"/>
          <w:b/>
          <w:bCs/>
          <w:spacing w:val="-2"/>
          <w:sz w:val="28"/>
          <w:szCs w:val="28"/>
          <w:lang w:eastAsia="zh-CN"/>
        </w:rPr>
        <w:t>（三）核查方法</w:t>
      </w:r>
      <w:bookmarkEnd w:id="84"/>
      <w:bookmarkEnd w:id="85"/>
    </w:p>
    <w:p w14:paraId="38D3CD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从电力公司调取企业用电量情况，分析历史预警期间电量变化，比对采取减排措施期间的用电量是否有明显下降趋势。</w:t>
      </w:r>
    </w:p>
    <w:p w14:paraId="2551187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重点核查企业生产线停限产情况。</w:t>
      </w:r>
    </w:p>
    <w:p w14:paraId="624F68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重点核查企业生产台账记录；核查企业涉气车间视频监控。</w:t>
      </w:r>
    </w:p>
    <w:p w14:paraId="4B2655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调取厂区货运进出口视频监控记录，比对预警前后厂区汽车运输情况，检查是否符合要求；现场抽查运行车辆的随车清单、行驶证或登录机动车环保网等方式，核查排放标准是否符合要求。</w:t>
      </w:r>
    </w:p>
    <w:p w14:paraId="2A8B3B0B">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86" w:name="_Toc1756"/>
      <w:bookmarkStart w:id="87" w:name="_Toc8188"/>
      <w:r>
        <w:rPr>
          <w:rFonts w:hint="default" w:ascii="Times New Roman" w:hAnsi="Times New Roman" w:cs="Times New Roman"/>
          <w:b/>
          <w:sz w:val="32"/>
          <w:szCs w:val="32"/>
          <w:lang w:val="en-US" w:eastAsia="zh-CN"/>
        </w:rPr>
        <w:t>七、涉锅炉/炉窑排放企业</w:t>
      </w:r>
      <w:bookmarkEnd w:id="86"/>
      <w:bookmarkEnd w:id="87"/>
    </w:p>
    <w:p w14:paraId="44A926E7">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sectPr>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imes New Roman" w:hAnsi="Times New Roman" w:eastAsia="宋体" w:cs="Times New Roman"/>
          <w:spacing w:val="-2"/>
          <w:sz w:val="28"/>
          <w:szCs w:val="28"/>
          <w:lang w:eastAsia="zh-CN"/>
        </w:rPr>
        <w:t>锅炉和各类工业炉窑，主要污染物为PM、SO</w:t>
      </w:r>
      <w:r>
        <w:rPr>
          <w:rFonts w:hint="default" w:ascii="Times New Roman" w:hAnsi="Times New Roman" w:eastAsia="宋体" w:cs="Times New Roman"/>
          <w:spacing w:val="-2"/>
          <w:sz w:val="28"/>
          <w:szCs w:val="28"/>
          <w:vertAlign w:val="subscript"/>
          <w:lang w:eastAsia="zh-CN"/>
        </w:rPr>
        <w:t>2</w:t>
      </w:r>
      <w:r>
        <w:rPr>
          <w:rFonts w:hint="default" w:ascii="Times New Roman" w:hAnsi="Times New Roman" w:eastAsia="宋体" w:cs="Times New Roman"/>
          <w:spacing w:val="-2"/>
          <w:sz w:val="28"/>
          <w:szCs w:val="28"/>
          <w:lang w:eastAsia="zh-CN"/>
        </w:rPr>
        <w:t>、NOx有组织和无组织排放，按照表</w:t>
      </w:r>
      <w:r>
        <w:rPr>
          <w:rFonts w:hint="default" w:ascii="Times New Roman" w:hAnsi="Times New Roman" w:eastAsia="宋体" w:cs="Times New Roman"/>
          <w:spacing w:val="-2"/>
          <w:sz w:val="28"/>
          <w:szCs w:val="28"/>
          <w:lang w:val="en-US" w:eastAsia="zh-CN"/>
        </w:rPr>
        <w:t>7</w:t>
      </w:r>
      <w:r>
        <w:rPr>
          <w:rFonts w:hint="default" w:ascii="Times New Roman" w:hAnsi="Times New Roman" w:eastAsia="宋体" w:cs="Times New Roman"/>
          <w:spacing w:val="-2"/>
          <w:sz w:val="28"/>
          <w:szCs w:val="28"/>
          <w:lang w:eastAsia="zh-CN"/>
        </w:rPr>
        <w:t>-1涉锅炉/炉窑绩效分级指标要求进行分级评定，并采取相应的减排措施。</w:t>
      </w:r>
    </w:p>
    <w:p w14:paraId="5DE8A311">
      <w:pPr>
        <w:spacing w:before="97" w:line="218" w:lineRule="auto"/>
        <w:outlineLvl w:val="1"/>
        <w:rPr>
          <w:rFonts w:hint="default" w:ascii="Times New Roman" w:hAnsi="Times New Roman" w:eastAsia="楷体" w:cs="Times New Roman"/>
          <w:spacing w:val="-10"/>
          <w:sz w:val="30"/>
          <w:szCs w:val="30"/>
          <w:lang w:eastAsia="zh-CN"/>
        </w:rPr>
      </w:pPr>
      <w:bookmarkStart w:id="88" w:name="_Toc3671"/>
      <w:bookmarkStart w:id="89" w:name="_Toc18445"/>
      <w:r>
        <w:rPr>
          <w:rFonts w:hint="default" w:ascii="Times New Roman" w:hAnsi="Times New Roman" w:eastAsia="楷体" w:cs="Times New Roman"/>
          <w:b/>
          <w:bCs/>
          <w:spacing w:val="-10"/>
          <w:sz w:val="30"/>
          <w:szCs w:val="30"/>
          <w:lang w:eastAsia="zh-CN"/>
        </w:rPr>
        <w:t>（一）绩效分级指标</w:t>
      </w:r>
      <w:bookmarkEnd w:id="88"/>
      <w:bookmarkEnd w:id="89"/>
    </w:p>
    <w:p w14:paraId="78D9BDEF">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7</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涉锅炉/炉窑企业绩效分级指标</w:t>
      </w:r>
    </w:p>
    <w:p w14:paraId="0741A106">
      <w:pPr>
        <w:spacing w:line="135" w:lineRule="exact"/>
        <w:rPr>
          <w:rFonts w:hint="default" w:ascii="Times New Roman" w:hAnsi="Times New Roman" w:cs="Times New Roman"/>
        </w:rPr>
      </w:pPr>
    </w:p>
    <w:tbl>
      <w:tblPr>
        <w:tblStyle w:val="12"/>
        <w:tblW w:w="502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0"/>
        <w:gridCol w:w="820"/>
        <w:gridCol w:w="3713"/>
        <w:gridCol w:w="3392"/>
        <w:gridCol w:w="4375"/>
        <w:gridCol w:w="1242"/>
      </w:tblGrid>
      <w:tr w14:paraId="249AA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trPr>
        <w:tc>
          <w:tcPr>
            <w:tcW w:w="1388" w:type="dxa"/>
            <w:gridSpan w:val="2"/>
            <w:tcBorders>
              <w:tl2br w:val="nil"/>
              <w:tr2bl w:val="nil"/>
            </w:tcBorders>
            <w:vAlign w:val="center"/>
          </w:tcPr>
          <w:p w14:paraId="70167CE0">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差异化指标</w:t>
            </w:r>
          </w:p>
        </w:tc>
        <w:tc>
          <w:tcPr>
            <w:tcW w:w="3904" w:type="dxa"/>
            <w:tcBorders>
              <w:tl2br w:val="nil"/>
              <w:tr2bl w:val="nil"/>
            </w:tcBorders>
            <w:vAlign w:val="center"/>
          </w:tcPr>
          <w:p w14:paraId="32771F1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A级企业</w:t>
            </w:r>
          </w:p>
        </w:tc>
        <w:tc>
          <w:tcPr>
            <w:tcW w:w="3567" w:type="dxa"/>
            <w:tcBorders>
              <w:tl2br w:val="nil"/>
              <w:tr2bl w:val="nil"/>
            </w:tcBorders>
            <w:vAlign w:val="center"/>
          </w:tcPr>
          <w:p w14:paraId="0C46718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B级企业</w:t>
            </w:r>
          </w:p>
        </w:tc>
        <w:tc>
          <w:tcPr>
            <w:tcW w:w="4601" w:type="dxa"/>
            <w:tcBorders>
              <w:tl2br w:val="nil"/>
              <w:tr2bl w:val="nil"/>
            </w:tcBorders>
            <w:vAlign w:val="center"/>
          </w:tcPr>
          <w:p w14:paraId="100C70F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C级企业</w:t>
            </w:r>
          </w:p>
        </w:tc>
        <w:tc>
          <w:tcPr>
            <w:tcW w:w="1306" w:type="dxa"/>
            <w:tcBorders>
              <w:tl2br w:val="nil"/>
              <w:tr2bl w:val="nil"/>
            </w:tcBorders>
            <w:vAlign w:val="center"/>
          </w:tcPr>
          <w:p w14:paraId="4337D47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54BC3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016D037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能源类型</w:t>
            </w:r>
          </w:p>
        </w:tc>
        <w:tc>
          <w:tcPr>
            <w:tcW w:w="3904" w:type="dxa"/>
            <w:tcBorders>
              <w:tl2br w:val="nil"/>
              <w:tr2bl w:val="nil"/>
            </w:tcBorders>
            <w:vAlign w:val="center"/>
          </w:tcPr>
          <w:p w14:paraId="4F8A0C8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以电、天然气等为能源</w:t>
            </w:r>
            <w:r>
              <w:rPr>
                <w:rFonts w:hint="default" w:ascii="Times New Roman" w:hAnsi="Times New Roman" w:cs="Times New Roman"/>
                <w:b w:val="0"/>
                <w:bCs w:val="0"/>
                <w:spacing w:val="0"/>
                <w:position w:val="0"/>
                <w:sz w:val="21"/>
                <w:szCs w:val="21"/>
                <w:lang w:eastAsia="zh-CN"/>
              </w:rPr>
              <w:t>。</w:t>
            </w:r>
          </w:p>
        </w:tc>
        <w:tc>
          <w:tcPr>
            <w:tcW w:w="3567" w:type="dxa"/>
            <w:tcBorders>
              <w:tl2br w:val="nil"/>
              <w:tr2bl w:val="nil"/>
            </w:tcBorders>
            <w:vAlign w:val="center"/>
          </w:tcPr>
          <w:p w14:paraId="0E4E428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以</w:t>
            </w:r>
            <w:r>
              <w:rPr>
                <w:rFonts w:hint="default" w:ascii="Times New Roman" w:hAnsi="Times New Roman" w:eastAsia="宋体" w:cs="Times New Roman"/>
                <w:b w:val="0"/>
                <w:bCs w:val="0"/>
                <w:spacing w:val="0"/>
                <w:position w:val="0"/>
                <w:sz w:val="21"/>
                <w:szCs w:val="21"/>
              </w:rPr>
              <w:t>电、天然气、液化石油气、生物质等为能源。</w:t>
            </w:r>
          </w:p>
        </w:tc>
        <w:tc>
          <w:tcPr>
            <w:tcW w:w="5907" w:type="dxa"/>
            <w:gridSpan w:val="2"/>
            <w:tcBorders>
              <w:tl2br w:val="nil"/>
              <w:tr2bl w:val="nil"/>
            </w:tcBorders>
            <w:vAlign w:val="center"/>
          </w:tcPr>
          <w:p w14:paraId="04AF12E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以</w:t>
            </w:r>
            <w:r>
              <w:rPr>
                <w:rFonts w:hint="default" w:ascii="Times New Roman" w:hAnsi="Times New Roman" w:eastAsia="宋体" w:cs="Times New Roman"/>
                <w:b w:val="0"/>
                <w:bCs w:val="0"/>
                <w:spacing w:val="0"/>
                <w:position w:val="0"/>
                <w:sz w:val="21"/>
                <w:szCs w:val="21"/>
              </w:rPr>
              <w:t>电、天然气、液化石油气、生物质、煤、柴油等为能源。</w:t>
            </w:r>
          </w:p>
        </w:tc>
      </w:tr>
      <w:tr w14:paraId="4EBAD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5E34999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w:t>
            </w:r>
          </w:p>
        </w:tc>
        <w:tc>
          <w:tcPr>
            <w:tcW w:w="13378" w:type="dxa"/>
            <w:gridSpan w:val="4"/>
            <w:tcBorders>
              <w:tl2br w:val="nil"/>
              <w:tr2bl w:val="nil"/>
            </w:tcBorders>
            <w:vAlign w:val="center"/>
          </w:tcPr>
          <w:p w14:paraId="418AF5F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cs="Times New Roman"/>
                <w:b w:val="0"/>
                <w:bCs w:val="0"/>
                <w:spacing w:val="0"/>
                <w:position w:val="0"/>
                <w:sz w:val="21"/>
                <w:szCs w:val="21"/>
                <w:lang w:val="en-US" w:eastAsia="zh-CN"/>
              </w:rPr>
              <w:t>不</w:t>
            </w:r>
            <w:r>
              <w:rPr>
                <w:rFonts w:hint="default" w:ascii="Times New Roman" w:hAnsi="Times New Roman" w:eastAsia="宋体" w:cs="Times New Roman"/>
                <w:b w:val="0"/>
                <w:bCs w:val="0"/>
                <w:spacing w:val="0"/>
                <w:position w:val="0"/>
                <w:sz w:val="21"/>
                <w:szCs w:val="21"/>
              </w:rPr>
              <w:t>属于《产业结构调整指导目录（2024）》</w:t>
            </w:r>
            <w:r>
              <w:rPr>
                <w:rFonts w:hint="default" w:ascii="Times New Roman" w:hAnsi="Times New Roman" w:cs="Times New Roman"/>
                <w:b w:val="0"/>
                <w:bCs w:val="0"/>
                <w:spacing w:val="0"/>
                <w:position w:val="0"/>
                <w:sz w:val="21"/>
                <w:szCs w:val="21"/>
                <w:lang w:val="en-US" w:eastAsia="zh-CN"/>
              </w:rPr>
              <w:t>限制类和淘汰类</w:t>
            </w:r>
            <w:r>
              <w:rPr>
                <w:rFonts w:hint="default" w:ascii="Times New Roman" w:hAnsi="Times New Roman" w:eastAsia="宋体" w:cs="Times New Roman"/>
                <w:b w:val="0"/>
                <w:bCs w:val="0"/>
                <w:spacing w:val="0"/>
                <w:position w:val="0"/>
                <w:sz w:val="21"/>
                <w:szCs w:val="21"/>
              </w:rPr>
              <w:t>；2</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符合相关行业产业政策；3</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w:t>
            </w:r>
            <w:r>
              <w:rPr>
                <w:rFonts w:hint="default" w:ascii="Times New Roman" w:hAnsi="Times New Roman" w:cs="Times New Roman"/>
                <w:b w:val="0"/>
                <w:bCs w:val="0"/>
                <w:spacing w:val="0"/>
                <w:position w:val="0"/>
                <w:sz w:val="21"/>
                <w:szCs w:val="21"/>
                <w:lang w:eastAsia="zh-CN"/>
              </w:rPr>
              <w:t>湖北省</w:t>
            </w:r>
            <w:r>
              <w:rPr>
                <w:rFonts w:hint="default" w:ascii="Times New Roman" w:hAnsi="Times New Roman" w:eastAsia="宋体" w:cs="Times New Roman"/>
                <w:b w:val="0"/>
                <w:bCs w:val="0"/>
                <w:spacing w:val="0"/>
                <w:position w:val="0"/>
                <w:sz w:val="21"/>
                <w:szCs w:val="21"/>
              </w:rPr>
              <w:t>相关政策要求；4</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符合市级规划。</w:t>
            </w:r>
          </w:p>
        </w:tc>
      </w:tr>
      <w:tr w14:paraId="15CFA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3A751CA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污染治理</w:t>
            </w:r>
          </w:p>
          <w:p w14:paraId="0A11B9D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技术</w:t>
            </w:r>
          </w:p>
        </w:tc>
        <w:tc>
          <w:tcPr>
            <w:tcW w:w="3904" w:type="dxa"/>
            <w:tcBorders>
              <w:tl2br w:val="nil"/>
              <w:tr2bl w:val="nil"/>
            </w:tcBorders>
            <w:vAlign w:val="center"/>
          </w:tcPr>
          <w:p w14:paraId="68497DC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PM：采用覆膜袋式、滤筒或湿电等高效除尘技术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（除湿电除尘外，设计效率不低于99%）；</w:t>
            </w:r>
          </w:p>
          <w:p w14:paraId="7EDC928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NOx：采用低氮燃烧、SNCR/SCR等适宜技术；使用氨法脱硝的企业，氨的装卸、储存、输送、制备等过程全密闭，并采取有氨气泄漏检测和收集措施；采用尿素作为还原剂的配备有尿素加热水解制氨系统</w:t>
            </w:r>
            <w:r>
              <w:rPr>
                <w:rFonts w:hint="default" w:ascii="Times New Roman" w:hAnsi="Times New Roman" w:cs="Times New Roman"/>
                <w:b w:val="0"/>
                <w:bCs w:val="0"/>
                <w:spacing w:val="0"/>
                <w:position w:val="0"/>
                <w:sz w:val="21"/>
                <w:szCs w:val="21"/>
                <w:lang w:eastAsia="zh-CN"/>
              </w:rPr>
              <w:t>。</w:t>
            </w:r>
          </w:p>
        </w:tc>
        <w:tc>
          <w:tcPr>
            <w:tcW w:w="3567" w:type="dxa"/>
            <w:tcBorders>
              <w:tl2br w:val="nil"/>
              <w:tr2bl w:val="nil"/>
            </w:tcBorders>
            <w:vAlign w:val="center"/>
          </w:tcPr>
          <w:p w14:paraId="41EB014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PM：采用袋式、</w:t>
            </w:r>
            <w:r>
              <w:rPr>
                <w:rFonts w:hint="default" w:ascii="Times New Roman" w:hAnsi="Times New Roman" w:cs="Times New Roman"/>
                <w:b w:val="0"/>
                <w:bCs w:val="0"/>
                <w:spacing w:val="0"/>
                <w:position w:val="0"/>
                <w:sz w:val="21"/>
                <w:szCs w:val="21"/>
                <w:lang w:val="en-US" w:eastAsia="zh-CN"/>
              </w:rPr>
              <w:t>滤筒、</w:t>
            </w:r>
            <w:r>
              <w:rPr>
                <w:rFonts w:hint="default" w:ascii="Times New Roman" w:hAnsi="Times New Roman" w:eastAsia="宋体" w:cs="Times New Roman"/>
                <w:b w:val="0"/>
                <w:bCs w:val="0"/>
                <w:spacing w:val="0"/>
                <w:position w:val="0"/>
                <w:sz w:val="21"/>
                <w:szCs w:val="21"/>
              </w:rPr>
              <w:t>静电等除尘技术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00A059EA">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NOx：采用低氮燃烧、SNCR/SCR、湿式氧化法等适宜技术；</w:t>
            </w:r>
          </w:p>
          <w:p w14:paraId="117EF87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：采用湿法（配备自动加碱和pH值测量）、干法或半干法脱硫技术（设计效率不低于85%）</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2</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lang w:eastAsia="zh-CN"/>
              </w:rPr>
              <w:t>。</w:t>
            </w:r>
          </w:p>
        </w:tc>
        <w:tc>
          <w:tcPr>
            <w:tcW w:w="4601" w:type="dxa"/>
            <w:tcBorders>
              <w:tl2br w:val="nil"/>
              <w:tr2bl w:val="nil"/>
            </w:tcBorders>
            <w:vAlign w:val="center"/>
          </w:tcPr>
          <w:p w14:paraId="0263EB1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PM：采用袋式、</w:t>
            </w:r>
            <w:r>
              <w:rPr>
                <w:rFonts w:hint="default" w:ascii="Times New Roman" w:hAnsi="Times New Roman" w:cs="Times New Roman"/>
                <w:b w:val="0"/>
                <w:bCs w:val="0"/>
                <w:spacing w:val="0"/>
                <w:position w:val="0"/>
                <w:sz w:val="21"/>
                <w:szCs w:val="21"/>
                <w:lang w:val="en-US" w:eastAsia="zh-CN"/>
              </w:rPr>
              <w:t>滤筒、</w:t>
            </w:r>
            <w:r>
              <w:rPr>
                <w:rFonts w:hint="default" w:ascii="Times New Roman" w:hAnsi="Times New Roman" w:eastAsia="宋体" w:cs="Times New Roman"/>
                <w:b w:val="0"/>
                <w:bCs w:val="0"/>
                <w:spacing w:val="0"/>
                <w:position w:val="0"/>
                <w:sz w:val="21"/>
                <w:szCs w:val="21"/>
              </w:rPr>
              <w:t>静电等除尘技术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4D6FC77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NOx：同B级第2条要求；</w:t>
            </w:r>
          </w:p>
          <w:p w14:paraId="3FBF5D2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SO2：采用湿法、干法或半干法等脱硫技术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2</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37E02FA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tc>
        <w:tc>
          <w:tcPr>
            <w:tcW w:w="1306" w:type="dxa"/>
            <w:tcBorders>
              <w:tl2br w:val="nil"/>
              <w:tr2bl w:val="nil"/>
            </w:tcBorders>
            <w:vAlign w:val="center"/>
          </w:tcPr>
          <w:p w14:paraId="43310B43">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91A4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restart"/>
            <w:tcBorders>
              <w:tl2br w:val="nil"/>
              <w:tr2bl w:val="nil"/>
            </w:tcBorders>
            <w:vAlign w:val="center"/>
          </w:tcPr>
          <w:p w14:paraId="21833D33">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3FF5EDA">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5FA87602">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2D47387A">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7F7A99E7">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E7332C6">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2DB7E270">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7C0389FB">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6D9E46EF">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3BAB5D0D">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A859A2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862" w:type="dxa"/>
            <w:tcBorders>
              <w:tl2br w:val="nil"/>
              <w:tr2bl w:val="nil"/>
            </w:tcBorders>
            <w:vAlign w:val="center"/>
          </w:tcPr>
          <w:p w14:paraId="7533032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锅炉</w:t>
            </w:r>
          </w:p>
        </w:tc>
        <w:tc>
          <w:tcPr>
            <w:tcW w:w="3904" w:type="dxa"/>
            <w:tcBorders>
              <w:tl2br w:val="nil"/>
              <w:tr2bl w:val="nil"/>
            </w:tcBorders>
            <w:vAlign w:val="center"/>
          </w:tcPr>
          <w:p w14:paraId="493FD03B">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p w14:paraId="29D41977">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p w14:paraId="561FCAC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燃气锅炉烟气PM、SO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、NOx排放浓度分别不高于5、10、50mg/</w:t>
            </w:r>
            <w:r>
              <w:rPr>
                <w:rFonts w:hint="default" w:ascii="Times New Roman" w:hAnsi="Times New Roman" w:cs="Times New Roman"/>
                <w:b w:val="0"/>
                <w:bCs w:val="0"/>
                <w:spacing w:val="0"/>
                <w:position w:val="0"/>
                <w:sz w:val="21"/>
                <w:szCs w:val="21"/>
                <w:lang w:eastAsia="zh-CN"/>
              </w:rPr>
              <w:t>m³</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基准氧含量：3.5%</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w:t>
            </w:r>
          </w:p>
          <w:p w14:paraId="2822FDA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氨逃逸排放浓度不高于8mg/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（使用氨水、尿素作还原剂）。</w:t>
            </w:r>
          </w:p>
        </w:tc>
        <w:tc>
          <w:tcPr>
            <w:tcW w:w="3567" w:type="dxa"/>
            <w:tcBorders>
              <w:tl2br w:val="nil"/>
              <w:tr2bl w:val="nil"/>
            </w:tcBorders>
            <w:vAlign w:val="center"/>
          </w:tcPr>
          <w:p w14:paraId="1348E995">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同A级第1条要求；</w:t>
            </w:r>
          </w:p>
          <w:p w14:paraId="08C57BB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同A级第2条要求；</w:t>
            </w:r>
          </w:p>
          <w:p w14:paraId="05BAB47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生物质锅炉烟气PM、SO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、NOx排放浓度分别不高于10、35、50mg/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eastAsia" w:ascii="Times New Roman" w:hAnsi="Times New Roman" w:cs="Times New Roman"/>
                <w:b w:val="0"/>
                <w:bCs w:val="0"/>
                <w:spacing w:val="0"/>
                <w:position w:val="0"/>
                <w:sz w:val="21"/>
                <w:szCs w:val="21"/>
                <w:vertAlign w:val="superscript"/>
                <w:lang w:val="en-US" w:eastAsia="zh-CN"/>
              </w:rPr>
              <w:t>（</w:t>
            </w:r>
            <w:r>
              <w:rPr>
                <w:rFonts w:hint="default" w:ascii="Times New Roman" w:hAnsi="Times New Roman" w:eastAsia="宋体" w:cs="Times New Roman"/>
                <w:b w:val="0"/>
                <w:bCs w:val="0"/>
                <w:spacing w:val="0"/>
                <w:position w:val="0"/>
                <w:sz w:val="21"/>
                <w:szCs w:val="21"/>
              </w:rPr>
              <w:t>基准氧含量：9%</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w:t>
            </w:r>
          </w:p>
          <w:p w14:paraId="72777AB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tc>
        <w:tc>
          <w:tcPr>
            <w:tcW w:w="4601" w:type="dxa"/>
            <w:tcBorders>
              <w:tl2br w:val="nil"/>
              <w:tr2bl w:val="nil"/>
            </w:tcBorders>
            <w:vAlign w:val="center"/>
          </w:tcPr>
          <w:p w14:paraId="041811A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燃煤锅炉烟气PM、SO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、NOx浓度分别不高于30、200、200mg/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（基准氧含量：9%）；</w:t>
            </w:r>
          </w:p>
          <w:p w14:paraId="66B3C5F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燃油锅炉烟气PM、SO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、NOx浓度分别不高于30、100、200mg/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（基准氧含量：3.5%）；</w:t>
            </w:r>
          </w:p>
          <w:p w14:paraId="468A985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燃气锅炉烟气PM、SO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、NOx浓度分别不高于20、50、</w:t>
            </w:r>
            <w:r>
              <w:rPr>
                <w:rFonts w:hint="default" w:ascii="Times New Roman" w:hAnsi="Times New Roman" w:cs="Times New Roman"/>
                <w:b w:val="0"/>
                <w:bCs w:val="0"/>
                <w:spacing w:val="0"/>
                <w:position w:val="0"/>
                <w:sz w:val="21"/>
                <w:szCs w:val="21"/>
                <w:lang w:val="en-US" w:eastAsia="zh-CN"/>
              </w:rPr>
              <w:t>50</w:t>
            </w:r>
            <w:r>
              <w:rPr>
                <w:rFonts w:hint="default" w:ascii="Times New Roman" w:hAnsi="Times New Roman" w:eastAsia="宋体" w:cs="Times New Roman"/>
                <w:b w:val="0"/>
                <w:bCs w:val="0"/>
                <w:spacing w:val="0"/>
                <w:position w:val="0"/>
                <w:sz w:val="21"/>
                <w:szCs w:val="21"/>
              </w:rPr>
              <w:t>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（基准氧含量：3.5%）；</w:t>
            </w:r>
          </w:p>
          <w:p w14:paraId="284559CA">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生物质锅炉烟气PM、SO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、NOx排放浓度分别不高于20、40、150mg/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w:t>
            </w:r>
          </w:p>
        </w:tc>
        <w:tc>
          <w:tcPr>
            <w:tcW w:w="1306" w:type="dxa"/>
            <w:tcBorders>
              <w:tl2br w:val="nil"/>
              <w:tr2bl w:val="nil"/>
            </w:tcBorders>
            <w:vAlign w:val="center"/>
          </w:tcPr>
          <w:p w14:paraId="1501FAA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6CC8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continue"/>
            <w:tcBorders>
              <w:tl2br w:val="nil"/>
              <w:tr2bl w:val="nil"/>
            </w:tcBorders>
            <w:vAlign w:val="center"/>
          </w:tcPr>
          <w:p w14:paraId="7683E9CC">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862" w:type="dxa"/>
            <w:tcBorders>
              <w:right w:val="single" w:color="auto" w:sz="4" w:space="0"/>
              <w:tl2br w:val="nil"/>
              <w:tr2bl w:val="nil"/>
            </w:tcBorders>
            <w:vAlign w:val="center"/>
          </w:tcPr>
          <w:p w14:paraId="325AACA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工业</w:t>
            </w:r>
          </w:p>
          <w:p w14:paraId="4A6C7D3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cs="Times New Roman"/>
                <w:b w:val="0"/>
                <w:bCs w:val="0"/>
                <w:spacing w:val="0"/>
                <w:position w:val="0"/>
                <w:sz w:val="21"/>
                <w:szCs w:val="21"/>
                <w:lang w:val="en-US" w:eastAsia="zh-CN"/>
              </w:rPr>
              <w:t>炉窑</w:t>
            </w:r>
          </w:p>
        </w:tc>
        <w:tc>
          <w:tcPr>
            <w:tcW w:w="3904" w:type="dxa"/>
            <w:tcBorders>
              <w:left w:val="single" w:color="auto" w:sz="4" w:space="0"/>
              <w:tl2br w:val="nil"/>
              <w:tr2bl w:val="nil"/>
            </w:tcBorders>
            <w:vAlign w:val="center"/>
          </w:tcPr>
          <w:p w14:paraId="02944A3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1.</w:t>
            </w:r>
            <w:r>
              <w:rPr>
                <w:rFonts w:hint="default" w:ascii="Times New Roman" w:hAnsi="Times New Roman" w:cs="Times New Roman"/>
                <w:sz w:val="21"/>
                <w:szCs w:val="21"/>
              </w:rPr>
              <w:t>电窑PM排放浓度不高于10mg/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（按实测浓度计）；</w:t>
            </w:r>
          </w:p>
          <w:p w14:paraId="620B497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2.</w:t>
            </w:r>
            <w:r>
              <w:rPr>
                <w:rFonts w:hint="default" w:ascii="Times New Roman" w:hAnsi="Times New Roman" w:cs="Times New Roman"/>
                <w:sz w:val="21"/>
                <w:szCs w:val="21"/>
              </w:rPr>
              <w:t>燃气工业炉窑烟气PM、SO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、NOx浓度分别不高于10、35、50mg/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（基准氧含量：3.5%，因工艺需要掺入空气/非密闭式生产的按实测浓度计）；</w:t>
            </w:r>
          </w:p>
          <w:p w14:paraId="1D5EC83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sz w:val="21"/>
                <w:szCs w:val="21"/>
                <w:lang w:eastAsia="zh-CN"/>
              </w:rPr>
              <w:t>3.</w:t>
            </w:r>
            <w:r>
              <w:rPr>
                <w:rFonts w:hint="default" w:ascii="Times New Roman" w:hAnsi="Times New Roman" w:cs="Times New Roman"/>
                <w:sz w:val="21"/>
                <w:szCs w:val="21"/>
              </w:rPr>
              <w:t>氨逃逸排放浓度不高于8mg/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（使用氨水、尿素作还原剂）。</w:t>
            </w:r>
          </w:p>
        </w:tc>
        <w:tc>
          <w:tcPr>
            <w:tcW w:w="3567" w:type="dxa"/>
            <w:tcBorders>
              <w:tl2br w:val="nil"/>
              <w:tr2bl w:val="nil"/>
            </w:tcBorders>
            <w:vAlign w:val="center"/>
          </w:tcPr>
          <w:p w14:paraId="0C05F702">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1.</w:t>
            </w:r>
            <w:r>
              <w:rPr>
                <w:rFonts w:hint="default" w:ascii="Times New Roman" w:hAnsi="Times New Roman" w:cs="Times New Roman"/>
                <w:sz w:val="21"/>
                <w:szCs w:val="21"/>
              </w:rPr>
              <w:t>电窑PM排放浓度不高于10mg/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（按实测浓度计）；</w:t>
            </w:r>
          </w:p>
          <w:p w14:paraId="774FCDFE">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2.</w:t>
            </w:r>
            <w:r>
              <w:rPr>
                <w:rFonts w:hint="default" w:ascii="Times New Roman" w:hAnsi="Times New Roman" w:cs="Times New Roman"/>
                <w:sz w:val="21"/>
                <w:szCs w:val="21"/>
              </w:rPr>
              <w:t>燃气工业炉窑烟气PM、SO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、NOx排放浓度分别不高于10、50、100mg/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（基准氧含量：3.5%，因工艺需要掺入空气/非密闭式生产的按实测浓度计）；</w:t>
            </w:r>
          </w:p>
          <w:p w14:paraId="5EA7F410">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3.</w:t>
            </w:r>
            <w:r>
              <w:rPr>
                <w:rFonts w:hint="default" w:ascii="Times New Roman" w:hAnsi="Times New Roman" w:cs="Times New Roman"/>
                <w:sz w:val="21"/>
                <w:szCs w:val="21"/>
              </w:rPr>
              <w:t>同A级第3条要求；</w:t>
            </w:r>
          </w:p>
          <w:p w14:paraId="78863660">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sz w:val="21"/>
                <w:szCs w:val="21"/>
                <w:lang w:eastAsia="zh-CN"/>
              </w:rPr>
              <w:t>4.</w:t>
            </w:r>
            <w:r>
              <w:rPr>
                <w:rFonts w:hint="default" w:ascii="Times New Roman" w:hAnsi="Times New Roman" w:cs="Times New Roman"/>
                <w:sz w:val="21"/>
                <w:szCs w:val="21"/>
              </w:rPr>
              <w:t>生物质工业炉窑烟气PM、SO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、NOx浓度分别不高于10、50、100mg/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eastAsia" w:ascii="Times New Roman" w:hAnsi="Times New Roman" w:cs="Times New Roman"/>
                <w:b w:val="0"/>
                <w:bCs w:val="0"/>
                <w:spacing w:val="0"/>
                <w:position w:val="0"/>
                <w:sz w:val="21"/>
                <w:szCs w:val="21"/>
                <w:vertAlign w:val="superscript"/>
                <w:lang w:val="en-US" w:eastAsia="zh-CN"/>
              </w:rPr>
              <w:t>（</w:t>
            </w:r>
            <w:r>
              <w:rPr>
                <w:rFonts w:hint="default" w:ascii="Times New Roman" w:hAnsi="Times New Roman" w:cs="Times New Roman"/>
                <w:sz w:val="21"/>
                <w:szCs w:val="21"/>
              </w:rPr>
              <w:t>基准氧含量：9%)。</w:t>
            </w:r>
          </w:p>
        </w:tc>
        <w:tc>
          <w:tcPr>
            <w:tcW w:w="4601" w:type="dxa"/>
            <w:tcBorders>
              <w:tl2br w:val="nil"/>
              <w:tr2bl w:val="nil"/>
            </w:tcBorders>
            <w:vAlign w:val="center"/>
          </w:tcPr>
          <w:p w14:paraId="51135A0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sz w:val="21"/>
                <w:szCs w:val="21"/>
              </w:rPr>
              <w:t>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、NOx浓度分别不高于20、80、180mg/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（基准氧含量：9%）。</w:t>
            </w:r>
          </w:p>
        </w:tc>
        <w:tc>
          <w:tcPr>
            <w:tcW w:w="1306" w:type="dxa"/>
            <w:tcBorders>
              <w:tl2br w:val="nil"/>
              <w:tr2bl w:val="nil"/>
            </w:tcBorders>
            <w:vAlign w:val="center"/>
          </w:tcPr>
          <w:p w14:paraId="1F38D873">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cs="Times New Roman"/>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2A62A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continue"/>
            <w:tcBorders>
              <w:tl2br w:val="nil"/>
              <w:tr2bl w:val="nil"/>
            </w:tcBorders>
            <w:vAlign w:val="center"/>
          </w:tcPr>
          <w:p w14:paraId="1044915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862" w:type="dxa"/>
            <w:tcBorders>
              <w:right w:val="single" w:color="auto" w:sz="4" w:space="0"/>
              <w:tl2br w:val="nil"/>
              <w:tr2bl w:val="nil"/>
            </w:tcBorders>
            <w:vAlign w:val="center"/>
          </w:tcPr>
          <w:p w14:paraId="72D1FFB6">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其他</w:t>
            </w:r>
          </w:p>
          <w:p w14:paraId="3E549FB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工序</w:t>
            </w:r>
          </w:p>
        </w:tc>
        <w:tc>
          <w:tcPr>
            <w:tcW w:w="3904" w:type="dxa"/>
            <w:tcBorders>
              <w:left w:val="single" w:color="auto" w:sz="4" w:space="0"/>
              <w:tl2br w:val="nil"/>
              <w:tr2bl w:val="nil"/>
            </w:tcBorders>
            <w:vAlign w:val="center"/>
          </w:tcPr>
          <w:p w14:paraId="6CD9B80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3567" w:type="dxa"/>
            <w:tcBorders>
              <w:tl2br w:val="nil"/>
              <w:tr2bl w:val="nil"/>
            </w:tcBorders>
            <w:vAlign w:val="center"/>
          </w:tcPr>
          <w:p w14:paraId="449A728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PM排放浓度不高于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4601" w:type="dxa"/>
            <w:tcBorders>
              <w:tl2br w:val="nil"/>
              <w:tr2bl w:val="nil"/>
            </w:tcBorders>
            <w:vAlign w:val="center"/>
          </w:tcPr>
          <w:p w14:paraId="2F41D29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PM排放浓度不高于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1306" w:type="dxa"/>
            <w:tcBorders>
              <w:tl2br w:val="nil"/>
              <w:tr2bl w:val="nil"/>
            </w:tcBorders>
            <w:vAlign w:val="center"/>
          </w:tcPr>
          <w:p w14:paraId="423C75E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16AD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4F66867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w:t>
            </w:r>
          </w:p>
          <w:p w14:paraId="6A4156F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水平</w:t>
            </w:r>
          </w:p>
        </w:tc>
        <w:tc>
          <w:tcPr>
            <w:tcW w:w="7471" w:type="dxa"/>
            <w:gridSpan w:val="2"/>
            <w:tcBorders>
              <w:left w:val="single" w:color="auto" w:sz="4" w:space="0"/>
              <w:tl2br w:val="nil"/>
              <w:tr2bl w:val="nil"/>
            </w:tcBorders>
            <w:vAlign w:val="center"/>
          </w:tcPr>
          <w:p w14:paraId="738B44D1">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eastAsia="宋体" w:cs="Times New Roman"/>
                <w:b w:val="0"/>
                <w:bCs w:val="0"/>
                <w:spacing w:val="0"/>
                <w:position w:val="0"/>
                <w:sz w:val="21"/>
                <w:szCs w:val="21"/>
              </w:rPr>
              <w:t>重点排污单位及排污许可重点管理单位主要排放口均需安装CEMS（不含以电、余热蒸汽为热源的锅炉；按照排污许可要求设置监测参数），采用SCR/SNCR脱硝的排放口需安装氨逃逸在线监测，并按要求与省级主管部门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20A70BB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eastAsia="宋体" w:cs="Times New Roman"/>
                <w:b w:val="0"/>
                <w:bCs w:val="0"/>
                <w:spacing w:val="0"/>
                <w:position w:val="0"/>
                <w:sz w:val="21"/>
                <w:szCs w:val="21"/>
              </w:rPr>
              <w:t>生物质锅炉（窑炉）使用单位应在进料口、锅炉房燃料堆场</w:t>
            </w:r>
            <w:r>
              <w:rPr>
                <w:rFonts w:hint="default" w:ascii="Times New Roman" w:hAnsi="Times New Roman" w:eastAsia="宋体" w:cs="Times New Roman"/>
                <w:b w:val="0"/>
                <w:bCs w:val="0"/>
                <w:spacing w:val="0"/>
                <w:position w:val="0"/>
                <w:sz w:val="21"/>
                <w:szCs w:val="21"/>
                <w:lang w:eastAsia="zh-CN"/>
              </w:rPr>
              <w:t>安装高清视频监控系统，视频监控数据保存6个月以上</w:t>
            </w:r>
            <w:r>
              <w:rPr>
                <w:rFonts w:hint="default" w:ascii="Times New Roman" w:hAnsi="Times New Roman" w:cs="Times New Roman"/>
                <w:b w:val="0"/>
                <w:bCs w:val="0"/>
                <w:spacing w:val="0"/>
                <w:position w:val="0"/>
                <w:sz w:val="21"/>
                <w:szCs w:val="21"/>
                <w:lang w:eastAsia="zh-CN"/>
              </w:rPr>
              <w:t>；</w:t>
            </w:r>
          </w:p>
          <w:p w14:paraId="7180BB6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3.</w:t>
            </w:r>
            <w:r>
              <w:rPr>
                <w:rFonts w:hint="default" w:ascii="Times New Roman" w:hAnsi="Times New Roman" w:cs="Times New Roman"/>
                <w:b w:val="0"/>
                <w:bCs w:val="0"/>
                <w:spacing w:val="0"/>
                <w:position w:val="0"/>
                <w:sz w:val="21"/>
                <w:szCs w:val="21"/>
                <w:lang w:eastAsia="zh-CN"/>
              </w:rPr>
              <w:t>厂内未安装在线监控的涉气生产设施主要投料口、料场出入口等易产尘点安装高清视频监控系统，视频监控数据保存6个月以上；</w:t>
            </w:r>
          </w:p>
          <w:p w14:paraId="64B9FECD">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4.</w:t>
            </w:r>
            <w:r>
              <w:rPr>
                <w:rFonts w:hint="default" w:ascii="Times New Roman" w:hAnsi="Times New Roman" w:cs="Times New Roman"/>
                <w:b w:val="0"/>
                <w:bCs w:val="0"/>
                <w:spacing w:val="0"/>
                <w:position w:val="0"/>
                <w:sz w:val="21"/>
                <w:szCs w:val="21"/>
                <w:lang w:val="en-US" w:eastAsia="zh-CN"/>
              </w:rPr>
              <w:t>废气处理设施安装PLC或DCS控制系统。</w:t>
            </w:r>
            <w:r>
              <w:rPr>
                <w:rFonts w:hint="default" w:ascii="Times New Roman" w:hAnsi="Times New Roman" w:eastAsia="宋体" w:cs="Times New Roman"/>
                <w:b w:val="0"/>
                <w:bCs w:val="0"/>
                <w:spacing w:val="0"/>
                <w:position w:val="0"/>
                <w:sz w:val="21"/>
                <w:szCs w:val="21"/>
              </w:rPr>
              <w:t>有脱硫设施的，脱硫剂使用量，脱硫剂仓料（液）位（与CEMS时间同步）、风机电流、SO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排放浓度；有脱硝设施的，脱硝剂使用量，脱硝剂仓（液）位，脱硝反应器出入口烟气温度、压力和NOx浓度，风机电流，NOx排放浓度等数据及历史曲线）及相关生产过程（生产时间、产量、负荷、投料量</w:t>
            </w:r>
            <w:r>
              <w:rPr>
                <w:rFonts w:hint="eastAsia" w:ascii="Times New Roman" w:hAnsi="Times New Roman" w:cs="Times New Roman"/>
                <w:b w:val="0"/>
                <w:bCs w:val="0"/>
                <w:spacing w:val="0"/>
                <w:position w:val="0"/>
                <w:sz w:val="21"/>
                <w:szCs w:val="21"/>
                <w:lang w:eastAsia="zh-CN"/>
              </w:rPr>
              <w:t>）等</w:t>
            </w:r>
            <w:r>
              <w:rPr>
                <w:rFonts w:hint="default" w:ascii="Times New Roman" w:hAnsi="Times New Roman" w:eastAsia="宋体" w:cs="Times New Roman"/>
                <w:b w:val="0"/>
                <w:bCs w:val="0"/>
                <w:spacing w:val="0"/>
                <w:position w:val="0"/>
                <w:sz w:val="21"/>
                <w:szCs w:val="21"/>
              </w:rPr>
              <w:t>主要参数，监控数据至少保存一年</w:t>
            </w:r>
            <w:r>
              <w:rPr>
                <w:rFonts w:hint="default" w:ascii="Times New Roman" w:hAnsi="Times New Roman" w:cs="Times New Roman"/>
                <w:b w:val="0"/>
                <w:bCs w:val="0"/>
                <w:spacing w:val="0"/>
                <w:position w:val="0"/>
                <w:sz w:val="21"/>
                <w:szCs w:val="21"/>
                <w:lang w:eastAsia="zh-CN"/>
              </w:rPr>
              <w:t>。</w:t>
            </w:r>
          </w:p>
        </w:tc>
        <w:tc>
          <w:tcPr>
            <w:tcW w:w="4601" w:type="dxa"/>
            <w:tcBorders>
              <w:tl2br w:val="nil"/>
              <w:tr2bl w:val="nil"/>
            </w:tcBorders>
            <w:vAlign w:val="center"/>
          </w:tcPr>
          <w:p w14:paraId="5EB64379">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cs="Times New Roman"/>
                <w:b w:val="0"/>
                <w:bCs w:val="0"/>
                <w:spacing w:val="0"/>
                <w:position w:val="0"/>
                <w:sz w:val="21"/>
                <w:szCs w:val="21"/>
                <w:lang w:val="en-US" w:eastAsia="zh-CN"/>
              </w:rPr>
              <w:t>至少达到A、B级企业1、2、3条。</w:t>
            </w:r>
          </w:p>
          <w:p w14:paraId="17E4157F">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cs="Times New Roman"/>
                <w:b w:val="0"/>
                <w:bCs w:val="0"/>
                <w:spacing w:val="0"/>
                <w:position w:val="0"/>
                <w:sz w:val="21"/>
                <w:szCs w:val="21"/>
                <w:lang w:val="en-US" w:eastAsia="zh-CN"/>
              </w:rPr>
              <w:t>废气处理设施安装PLC控制系统，记录设施运行关键参数并保存一年以上。</w:t>
            </w:r>
          </w:p>
        </w:tc>
        <w:tc>
          <w:tcPr>
            <w:tcW w:w="1306" w:type="dxa"/>
            <w:tcBorders>
              <w:tl2br w:val="nil"/>
              <w:tr2bl w:val="nil"/>
            </w:tcBorders>
            <w:vAlign w:val="center"/>
          </w:tcPr>
          <w:p w14:paraId="265D1B7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B839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shd w:val="clear" w:color="auto" w:fill="auto"/>
            <w:vAlign w:val="center"/>
          </w:tcPr>
          <w:p w14:paraId="2C832BA7">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环境管理</w:t>
            </w:r>
          </w:p>
          <w:p w14:paraId="7D0807B6">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spacing w:val="0"/>
                <w:position w:val="0"/>
                <w:sz w:val="21"/>
                <w:szCs w:val="21"/>
              </w:rPr>
              <w:t>水平</w:t>
            </w:r>
          </w:p>
        </w:tc>
        <w:tc>
          <w:tcPr>
            <w:tcW w:w="13378" w:type="dxa"/>
            <w:gridSpan w:val="4"/>
            <w:tcBorders>
              <w:left w:val="single" w:color="auto" w:sz="4" w:space="0"/>
              <w:tl2br w:val="nil"/>
              <w:tr2bl w:val="nil"/>
            </w:tcBorders>
            <w:shd w:val="clear" w:color="auto" w:fill="auto"/>
            <w:vAlign w:val="center"/>
          </w:tcPr>
          <w:p w14:paraId="1D1FD87D">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32807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0746A6B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7471" w:type="dxa"/>
            <w:gridSpan w:val="2"/>
            <w:tcBorders>
              <w:left w:val="single" w:color="auto" w:sz="4" w:space="0"/>
              <w:tl2br w:val="nil"/>
              <w:tr2bl w:val="nil"/>
            </w:tcBorders>
            <w:shd w:val="clear" w:color="auto" w:fill="auto"/>
            <w:vAlign w:val="center"/>
          </w:tcPr>
          <w:p w14:paraId="2CABCA9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废气污染治理设施运行管理信息（除尘滤料更换量和时间、脱硫及脱硝剂添加量和时间等）；3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监测记录信息（主要污染排放口废气排放手工和在线监测记录等）；4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燃料（天然气、煤等）消耗记录。</w:t>
            </w:r>
          </w:p>
        </w:tc>
        <w:tc>
          <w:tcPr>
            <w:tcW w:w="4601" w:type="dxa"/>
            <w:tcBorders>
              <w:tl2br w:val="nil"/>
              <w:tr2bl w:val="nil"/>
            </w:tcBorders>
            <w:shd w:val="clear" w:color="auto" w:fill="auto"/>
            <w:vAlign w:val="center"/>
          </w:tcPr>
          <w:p w14:paraId="47E90E7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zh-CN" w:bidi="ar-SA"/>
              </w:rPr>
            </w:pPr>
            <w:r>
              <w:rPr>
                <w:rFonts w:hint="default" w:ascii="Times New Roman" w:hAnsi="Times New Roman" w:cs="Times New Roman"/>
                <w:spacing w:val="0"/>
                <w:position w:val="0"/>
                <w:sz w:val="21"/>
                <w:szCs w:val="21"/>
                <w:lang w:val="en-US" w:eastAsia="zh-CN"/>
              </w:rPr>
              <w:t>至少达</w:t>
            </w:r>
            <w:r>
              <w:rPr>
                <w:rFonts w:hint="default" w:ascii="Times New Roman" w:hAnsi="Times New Roman" w:eastAsia="宋体" w:cs="Times New Roman"/>
                <w:spacing w:val="0"/>
                <w:position w:val="0"/>
                <w:sz w:val="21"/>
                <w:szCs w:val="21"/>
              </w:rPr>
              <w:t>到A、B级</w:t>
            </w:r>
            <w:r>
              <w:rPr>
                <w:rFonts w:hint="default" w:ascii="Times New Roman" w:hAnsi="Times New Roman" w:cs="Times New Roman"/>
                <w:spacing w:val="0"/>
                <w:position w:val="0"/>
                <w:sz w:val="21"/>
                <w:szCs w:val="21"/>
                <w:lang w:val="en-US" w:eastAsia="zh-CN"/>
              </w:rPr>
              <w:t>第1、2、3条</w:t>
            </w:r>
            <w:r>
              <w:rPr>
                <w:rFonts w:hint="default" w:ascii="Times New Roman" w:hAnsi="Times New Roman" w:eastAsia="宋体" w:cs="Times New Roman"/>
                <w:spacing w:val="0"/>
                <w:position w:val="0"/>
                <w:sz w:val="21"/>
                <w:szCs w:val="21"/>
              </w:rPr>
              <w:t>要求。</w:t>
            </w:r>
          </w:p>
        </w:tc>
        <w:tc>
          <w:tcPr>
            <w:tcW w:w="1306" w:type="dxa"/>
            <w:tcBorders>
              <w:tl2br w:val="nil"/>
              <w:tr2bl w:val="nil"/>
            </w:tcBorders>
            <w:shd w:val="clear" w:color="auto" w:fill="auto"/>
            <w:vAlign w:val="center"/>
          </w:tcPr>
          <w:p w14:paraId="072E2A4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zh-CN" w:bidi="ar-SA"/>
              </w:rPr>
            </w:pPr>
            <w:r>
              <w:rPr>
                <w:rFonts w:hint="default" w:ascii="Times New Roman" w:hAnsi="Times New Roman" w:cs="Times New Roman"/>
                <w:spacing w:val="0"/>
                <w:position w:val="0"/>
                <w:sz w:val="21"/>
                <w:szCs w:val="21"/>
                <w:lang w:val="en-US" w:eastAsia="zh-CN"/>
              </w:rPr>
              <w:t>未达到C级要求。</w:t>
            </w:r>
          </w:p>
        </w:tc>
      </w:tr>
      <w:tr w14:paraId="2EAC8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0D97096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7471" w:type="dxa"/>
            <w:gridSpan w:val="2"/>
            <w:tcBorders>
              <w:left w:val="single" w:color="auto" w:sz="4" w:space="0"/>
              <w:tl2br w:val="nil"/>
              <w:tr2bl w:val="nil"/>
            </w:tcBorders>
            <w:shd w:val="clear" w:color="auto" w:fill="auto"/>
            <w:vAlign w:val="center"/>
          </w:tcPr>
          <w:p w14:paraId="43DCFF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spacing w:val="0"/>
                <w:position w:val="0"/>
                <w:sz w:val="21"/>
                <w:szCs w:val="21"/>
              </w:rPr>
              <w:t>人员配置：设置环保部门，配备专职环保人员，并具备相应的环境管理能力。</w:t>
            </w:r>
          </w:p>
        </w:tc>
        <w:tc>
          <w:tcPr>
            <w:tcW w:w="5907" w:type="dxa"/>
            <w:gridSpan w:val="2"/>
            <w:tcBorders>
              <w:tl2br w:val="nil"/>
              <w:tr2bl w:val="nil"/>
            </w:tcBorders>
            <w:vAlign w:val="center"/>
          </w:tcPr>
          <w:p w14:paraId="54337EFB">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eastAsia="宋体" w:cs="Times New Roman"/>
                <w:spacing w:val="0"/>
                <w:position w:val="0"/>
                <w:sz w:val="21"/>
                <w:szCs w:val="21"/>
              </w:rPr>
              <w:t>人员配置：配备专职环保人员，并具备相应的环境管理能力。</w:t>
            </w:r>
          </w:p>
        </w:tc>
      </w:tr>
      <w:tr w14:paraId="0872B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64C05D2A">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spacing w:val="0"/>
                <w:position w:val="0"/>
                <w:sz w:val="21"/>
                <w:szCs w:val="21"/>
              </w:rPr>
              <w:t>运输方式</w:t>
            </w:r>
          </w:p>
        </w:tc>
        <w:tc>
          <w:tcPr>
            <w:tcW w:w="3904" w:type="dxa"/>
            <w:tcBorders>
              <w:left w:val="single" w:color="auto" w:sz="4" w:space="0"/>
              <w:tl2br w:val="nil"/>
              <w:tr2bl w:val="nil"/>
            </w:tcBorders>
            <w:vAlign w:val="center"/>
          </w:tcPr>
          <w:p w14:paraId="6FF9082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1C342E9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4AF35DCC">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p w14:paraId="42A58A7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65CA2DB">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6808EAC5">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F8BA39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p>
        </w:tc>
        <w:tc>
          <w:tcPr>
            <w:tcW w:w="3567" w:type="dxa"/>
            <w:tcBorders>
              <w:left w:val="single" w:color="auto" w:sz="4" w:space="0"/>
              <w:tl2br w:val="nil"/>
              <w:tr2bl w:val="nil"/>
            </w:tcBorders>
            <w:vAlign w:val="center"/>
          </w:tcPr>
          <w:p w14:paraId="22D4B28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629FA2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21A485D0">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418ADACD">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1DCFFA2F">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3CE9C4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C61D17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p>
        </w:tc>
        <w:tc>
          <w:tcPr>
            <w:tcW w:w="4601" w:type="dxa"/>
            <w:tcBorders>
              <w:tl2br w:val="nil"/>
              <w:tr2bl w:val="nil"/>
            </w:tcBorders>
            <w:vAlign w:val="center"/>
          </w:tcPr>
          <w:p w14:paraId="490E78B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77E4978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0176A83C">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厂内非道路移动机械达到国四及以上排放标准或使用纯电、氢燃料电池机械比例不低于50%，其他达到国三排放标准</w:t>
            </w:r>
            <w:r>
              <w:rPr>
                <w:rFonts w:hint="eastAsia" w:ascii="Times New Roman" w:hAnsi="Times New Roman" w:cs="Times New Roman"/>
                <w:b w:val="0"/>
                <w:bCs w:val="0"/>
                <w:spacing w:val="6"/>
                <w:sz w:val="21"/>
                <w:szCs w:val="21"/>
                <w:lang w:val="en-US" w:eastAsia="zh-CN"/>
              </w:rPr>
              <w:t>。</w:t>
            </w:r>
          </w:p>
          <w:p w14:paraId="305FC378">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4C83A4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25117481">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B26161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zh-CN" w:bidi="ar-SA"/>
              </w:rPr>
            </w:pPr>
          </w:p>
        </w:tc>
        <w:tc>
          <w:tcPr>
            <w:tcW w:w="1306" w:type="dxa"/>
            <w:tcBorders>
              <w:tl2br w:val="nil"/>
              <w:tr2bl w:val="nil"/>
            </w:tcBorders>
            <w:vAlign w:val="center"/>
          </w:tcPr>
          <w:p w14:paraId="11D979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spacing w:val="0"/>
                <w:position w:val="0"/>
                <w:sz w:val="21"/>
                <w:szCs w:val="21"/>
                <w:lang w:val="en-US" w:eastAsia="zh-CN"/>
              </w:rPr>
              <w:t>未达到C级要求。</w:t>
            </w:r>
          </w:p>
        </w:tc>
      </w:tr>
      <w:tr w14:paraId="58959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18751766">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spacing w:val="0"/>
                <w:position w:val="0"/>
                <w:sz w:val="21"/>
                <w:szCs w:val="21"/>
              </w:rPr>
              <w:t>运输监管</w:t>
            </w:r>
          </w:p>
        </w:tc>
        <w:tc>
          <w:tcPr>
            <w:tcW w:w="7471" w:type="dxa"/>
            <w:gridSpan w:val="2"/>
            <w:tcBorders>
              <w:left w:val="single" w:color="auto" w:sz="4" w:space="0"/>
              <w:tl2br w:val="nil"/>
              <w:tr2bl w:val="nil"/>
            </w:tcBorders>
            <w:vAlign w:val="center"/>
          </w:tcPr>
          <w:p w14:paraId="07CBA2C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r>
              <w:rPr>
                <w:rFonts w:hint="default" w:ascii="Times New Roman" w:hAnsi="Times New Roman" w:eastAsia="宋体" w:cs="Times New Roman"/>
                <w:b w:val="0"/>
                <w:bCs w:val="0"/>
                <w:spacing w:val="0"/>
                <w:position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eastAsia="宋体" w:cs="Times New Roman"/>
                <w:spacing w:val="0"/>
                <w:position w:val="0"/>
                <w:sz w:val="21"/>
                <w:szCs w:val="21"/>
              </w:rPr>
              <w:t>。</w:t>
            </w:r>
          </w:p>
        </w:tc>
        <w:tc>
          <w:tcPr>
            <w:tcW w:w="5907" w:type="dxa"/>
            <w:gridSpan w:val="2"/>
            <w:tcBorders>
              <w:tl2br w:val="nil"/>
              <w:tr2bl w:val="nil"/>
            </w:tcBorders>
            <w:vAlign w:val="center"/>
          </w:tcPr>
          <w:p w14:paraId="3D472F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spacing w:val="0"/>
                <w:position w:val="0"/>
                <w:sz w:val="21"/>
                <w:szCs w:val="21"/>
                <w:lang w:eastAsia="zh-CN"/>
              </w:rPr>
              <w:t>未达到B级要求。</w:t>
            </w:r>
          </w:p>
        </w:tc>
      </w:tr>
      <w:tr w14:paraId="37F18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66" w:type="dxa"/>
            <w:gridSpan w:val="6"/>
            <w:tcBorders>
              <w:tl2br w:val="nil"/>
              <w:tr2bl w:val="nil"/>
            </w:tcBorders>
            <w:vAlign w:val="center"/>
          </w:tcPr>
          <w:p w14:paraId="2E29545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备注【1】：燃气锅炉在PM稳定达到排放限值情况下可不采用除尘工艺；</w:t>
            </w:r>
          </w:p>
          <w:p w14:paraId="55780E1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】：采用纯生物质锅炉、炉窑，在SO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稳定达到排放限值情况下可不采用脱硫工艺；</w:t>
            </w:r>
          </w:p>
        </w:tc>
      </w:tr>
    </w:tbl>
    <w:p w14:paraId="05252865">
      <w:pPr>
        <w:rPr>
          <w:rFonts w:hint="default" w:ascii="Times New Roman" w:hAnsi="Times New Roman" w:cs="Times New Roma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60252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90" w:name="_Toc32050"/>
      <w:bookmarkStart w:id="91" w:name="_Toc3128"/>
      <w:r>
        <w:rPr>
          <w:rFonts w:hint="default" w:ascii="Times New Roman" w:hAnsi="Times New Roman" w:eastAsia="楷体" w:cs="Times New Roman"/>
          <w:b/>
          <w:bCs/>
          <w:spacing w:val="-10"/>
          <w:sz w:val="30"/>
          <w:szCs w:val="30"/>
          <w:lang w:eastAsia="zh-CN"/>
        </w:rPr>
        <w:t>（二）减排措施</w:t>
      </w:r>
      <w:bookmarkEnd w:id="90"/>
      <w:bookmarkEnd w:id="91"/>
    </w:p>
    <w:p w14:paraId="710CA4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A级企业</w:t>
      </w:r>
    </w:p>
    <w:p w14:paraId="3DADF2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13ADEA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B级企业</w:t>
      </w:r>
    </w:p>
    <w:p w14:paraId="79AA69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黄色预警期间：停止使用国五及以下重型载货车辆进行运输，停止使用国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067966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橙色预警期间：使用电能、天然气之外的锅炉/炉窑降低30%生产负荷，重点排污单位在每次预警启动前以预警发布前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6222BF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红色预警期间：使用电能、天然气之外的锅炉/炉窑降低50%生产负荷，重点排污单位在每次预警启动前以预警发布前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7B7C62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C级企业</w:t>
      </w:r>
    </w:p>
    <w:p w14:paraId="24324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黄色预警期间：使用电能、天然气之外的锅炉/炉窑降低50%生产负荷，重点排污单位在每次预警启动前以预警发布前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0CFDB3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橙色预警期间：电锅炉自主减排，确保重污染天气预警期间污染物排放量只降不增；天然气锅炉降低50%负荷（重点排污单位在每次预警启动前以预警发布前 10 个正常生产日日均产量为基准核算限产基数，明确限产措施及对应的污染物排放量</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eastAsia="zh-CN"/>
        </w:rPr>
        <w:t>可基于在线监测数据核定，各污染物削减比例与对应工序停限产比例对应</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eastAsia="zh-CN"/>
        </w:rPr>
        <w:t>，非重点排污单位以“环评批复产能、排污许可载明产能、前一年秋冬季正常生产日总产量”三者日均值的最小值为基准核算限产基数；食品、饲料等民生保障企业经市级认定可实施自主减排）；其他锅炉/炉窑停产；停止使用国五及以下重型载货车辆进行运输，停止使用国三及以下非道路移动机械。</w:t>
      </w:r>
    </w:p>
    <w:p w14:paraId="79FE6D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红色预警期间：电锅炉自主减排，确保重污染天气预警期间污染物排放量只降不增；其他锅炉/炉窑停产；停止使用国五及以下重型载货车辆进行运输，停止使用国三及以下非道路移动机械。</w:t>
      </w:r>
    </w:p>
    <w:p w14:paraId="45987E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D级企业</w:t>
      </w:r>
    </w:p>
    <w:p w14:paraId="3A416C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黄色及以上预警期间：电锅炉自主减排，确保重污染天气预警期间污染物排放量只降不增；其他锅炉/炉窑停产；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63142A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备注</w:t>
      </w:r>
    </w:p>
    <w:p w14:paraId="5BFD31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针对短时间内难以停产的锅炉/炉窑，建议在重污染频发的秋冬季期间，提前调整生产计划，确保预警期间企业能够落实相应应急减排措施。</w:t>
      </w:r>
    </w:p>
    <w:p w14:paraId="1AFC0D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92" w:name="_Toc9647"/>
      <w:bookmarkStart w:id="93" w:name="_Toc23753"/>
      <w:r>
        <w:rPr>
          <w:rFonts w:hint="default" w:ascii="Times New Roman" w:hAnsi="Times New Roman" w:eastAsia="楷体" w:cs="Times New Roman"/>
          <w:b/>
          <w:bCs/>
          <w:spacing w:val="-10"/>
          <w:sz w:val="30"/>
          <w:szCs w:val="30"/>
          <w:lang w:eastAsia="zh-CN"/>
        </w:rPr>
        <w:t>（三）核查方法</w:t>
      </w:r>
      <w:bookmarkEnd w:id="92"/>
      <w:bookmarkEnd w:id="93"/>
    </w:p>
    <w:p w14:paraId="568F62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从电力公司调取企业用电量情况，分析历史预警期间电量变化，比对采取减排措施期间的用电量是否有明显下降趋势。</w:t>
      </w:r>
    </w:p>
    <w:p w14:paraId="49BEED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重点核查企业炉窑投料设施、锅炉停限产情况，核查污染治理设施的运行稳定性。</w:t>
      </w:r>
    </w:p>
    <w:p w14:paraId="37A748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重点核查生产设施燃料使用量、生产负荷变化记录表；核查企业生产台账记录；核查企业涉气车间视频监控。</w:t>
      </w:r>
    </w:p>
    <w:p w14:paraId="2799D9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调取厂区货运进出口视频监控记录，比对预警前后厂区汽车运输情况，检查是否符合要求；现场抽查运行车辆的随车清单、行驶证或登录机动车环保网等方式，核查排放标准是否符合要求。</w:t>
      </w:r>
    </w:p>
    <w:sectPr>
      <w:footerReference r:id="rId14" w:type="default"/>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CB988">
    <w:pPr>
      <w:spacing w:line="177"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21666">
    <w:pPr>
      <w:spacing w:before="1" w:line="176" w:lineRule="auto"/>
      <w:ind w:left="1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7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830916A">
                          <w:pPr>
                            <w:pStyle w:val="6"/>
                            <w:rPr>
                              <w:rFonts w:hint="default" w:ascii="Times New Roman" w:hAnsi="Times New Roman" w:cs="Times New Roman"/>
                            </w:rPr>
                          </w:pPr>
                          <w:r>
                            <w:fldChar w:fldCharType="begin"/>
                          </w:r>
                          <w:r>
                            <w:instrText xml:space="preserve"> PAGE  \* MERGEFORMAT </w:instrText>
                          </w:r>
                          <w:r>
                            <w:fldChar w:fldCharType="separate"/>
                          </w:r>
                          <w:r>
                            <w:t>2</w:t>
                          </w:r>
                          <w:r>
                            <w:fldChar w:fldCharType="end"/>
                          </w:r>
                        </w:p>
                      </w:txbxContent>
                    </wps:txbx>
                    <wps:bodyPr vert="horz" wrap="none" lIns="0" tIns="0" rIns="0" bIns="0" anchor="t" upright="0">
                      <a:spAutoFit/>
                    </wps:bodyPr>
                  </wps:wsp>
                </a:graphicData>
              </a:graphic>
            </wp:anchor>
          </w:drawing>
        </mc:Choice>
        <mc:Fallback>
          <w:pict>
            <v:rect id="文本框 7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AxIhuF1AEAAJ8DAAAOAAAAAAAAAAEAIAAAAB8B&#10;AABkcnMvZTJvRG9jLnhtbFBLBQYAAAAABgAGAFkBAABlBQAAAAA=&#10;">
              <v:fill on="f" focussize="0,0"/>
              <v:stroke on="f"/>
              <v:imagedata o:title=""/>
              <o:lock v:ext="edit" aspectratio="f"/>
              <v:textbox inset="0mm,0mm,0mm,0mm" style="mso-fit-shape-to-text:t;">
                <w:txbxContent>
                  <w:p w14:paraId="7830916A">
                    <w:pPr>
                      <w:pStyle w:val="6"/>
                      <w:rPr>
                        <w:rFonts w:hint="default" w:ascii="Times New Roman" w:hAnsi="Times New Roman" w:cs="Times New Roman"/>
                      </w:rPr>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D4D20">
    <w:pPr>
      <w:spacing w:before="1" w:line="176" w:lineRule="auto"/>
      <w:ind w:left="1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posOffset>2769235</wp:posOffset>
              </wp:positionH>
              <wp:positionV relativeFrom="paragraph">
                <wp:posOffset>0</wp:posOffset>
              </wp:positionV>
              <wp:extent cx="1828800" cy="1828800"/>
              <wp:effectExtent l="0" t="0" r="0" b="0"/>
              <wp:wrapNone/>
              <wp:docPr id="4098" name="文本框 76"/>
              <wp:cNvGraphicFramePr/>
              <a:graphic xmlns:a="http://schemas.openxmlformats.org/drawingml/2006/main">
                <a:graphicData uri="http://schemas.microsoft.com/office/word/2010/wordprocessingShape">
                  <wps:wsp>
                    <wps:cNvSpPr/>
                    <wps:spPr>
                      <a:xfrm>
                        <a:off x="0" y="0"/>
                        <a:ext cx="1828799" cy="1828800"/>
                      </a:xfrm>
                      <a:prstGeom prst="rect">
                        <a:avLst/>
                      </a:prstGeom>
                      <a:ln>
                        <a:noFill/>
                      </a:ln>
                    </wps:spPr>
                    <wps:txbx>
                      <w:txbxContent>
                        <w:p w14:paraId="430BA559">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6" o:spid="_x0000_s1026" o:spt="1" style="position:absolute;left:0pt;margin-left:218.05pt;margin-top:0pt;height:144pt;width:144pt;mso-position-horizontal-relative:margin;mso-wrap-style:none;z-index:251659264;mso-width-relative:page;mso-height-relative:page;" filled="f" stroked="f" coordsize="21600,21600" o:gfxdata="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1sIZNUAAAAIAQAADwAAAAAAAAABACAA&#10;AAAiAAAAZHJzL2Rvd25yZXYueG1sUEsBAhQAFAAAAAgAh07iQCPb0t7XAQAAnwMAAA4AAAAAAAAA&#10;AQAgAAAAJAEAAGRycy9lMm9Eb2MueG1sUEsFBgAAAAAGAAYAWQEAAG0FAAAAAA==&#10;">
              <v:fill on="f" focussize="0,0"/>
              <v:stroke on="f"/>
              <v:imagedata o:title=""/>
              <o:lock v:ext="edit" aspectratio="f"/>
              <v:textbox inset="0mm,0mm,0mm,0mm" style="mso-fit-shape-to-text:t;">
                <w:txbxContent>
                  <w:p w14:paraId="430BA559">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0F61">
    <w:pPr>
      <w:spacing w:line="175" w:lineRule="auto"/>
      <w:ind w:left="7671"/>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354330" cy="1828800"/>
              <wp:effectExtent l="0" t="0" r="0" b="0"/>
              <wp:wrapNone/>
              <wp:docPr id="4099" name="文本框 58"/>
              <wp:cNvGraphicFramePr/>
              <a:graphic xmlns:a="http://schemas.openxmlformats.org/drawingml/2006/main">
                <a:graphicData uri="http://schemas.microsoft.com/office/word/2010/wordprocessingShape">
                  <wps:wsp>
                    <wps:cNvSpPr/>
                    <wps:spPr>
                      <a:xfrm>
                        <a:off x="0" y="0"/>
                        <a:ext cx="354330" cy="1828800"/>
                      </a:xfrm>
                      <a:prstGeom prst="rect">
                        <a:avLst/>
                      </a:prstGeom>
                      <a:ln>
                        <a:noFill/>
                      </a:ln>
                    </wps:spPr>
                    <wps:txbx>
                      <w:txbxContent>
                        <w:p w14:paraId="64B5D502">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3</w:t>
                          </w:r>
                          <w:r>
                            <w:rPr>
                              <w:rFonts w:hint="default" w:ascii="Times New Roman" w:hAnsi="Times New Roman" w:cs="Times New Roman"/>
                              <w:sz w:val="21"/>
                              <w:szCs w:val="21"/>
                            </w:rPr>
                            <w:fldChar w:fldCharType="end"/>
                          </w:r>
                        </w:p>
                      </w:txbxContent>
                    </wps:txbx>
                    <wps:bodyPr vert="horz" wrap="square" lIns="0" tIns="0" rIns="0" bIns="0" anchor="t" upright="0">
                      <a:spAutoFit/>
                    </wps:bodyPr>
                  </wps:wsp>
                </a:graphicData>
              </a:graphic>
            </wp:anchor>
          </w:drawing>
        </mc:Choice>
        <mc:Fallback>
          <w:pict>
            <v:rect id="文本框 58" o:spid="_x0000_s1026" o:spt="1" style="position:absolute;left:0pt;margin-top:0pt;height:144pt;width:27.9pt;mso-position-horizontal:center;mso-position-horizontal-relative:margin;z-index:251659264;mso-width-relative:page;mso-height-relative:page;" filled="f" stroked="f" coordsize="21600,21600" o:gfxdata="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G2fobVAAAABAEAAA8AAAAAAAAA&#10;AQAgAAAAIgAAAGRycy9kb3ducmV2LnhtbFBLAQIUABQAAAAIAIdO4kA7rxE72wEAAKADAAAOAAAA&#10;AAAAAAEAIAAAACQBAABkcnMvZTJvRG9jLnhtbFBLBQYAAAAABgAGAFkBAABxBQAAAAA=&#10;">
              <v:fill on="f" focussize="0,0"/>
              <v:stroke on="f"/>
              <v:imagedata o:title=""/>
              <o:lock v:ext="edit" aspectratio="f"/>
              <v:textbox inset="0mm,0mm,0mm,0mm" style="mso-fit-shape-to-text:t;">
                <w:txbxContent>
                  <w:p w14:paraId="64B5D502">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3</w:t>
                    </w:r>
                    <w:r>
                      <w:rPr>
                        <w:rFonts w:hint="default" w:ascii="Times New Roman" w:hAnsi="Times New Roman" w:cs="Times New Roman"/>
                        <w:sz w:val="21"/>
                        <w:szCs w:val="21"/>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85266">
    <w:pPr>
      <w:spacing w:line="175" w:lineRule="auto"/>
      <w:ind w:left="7775"/>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5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675830">
                          <w:pPr>
                            <w:pStyle w:val="6"/>
                            <w:rPr>
                              <w:rFonts w:hint="default" w:ascii="Times New Roman" w:hAnsi="Times New Roman" w:cs="Times New Roman"/>
                              <w:sz w:val="20"/>
                              <w:szCs w:val="22"/>
                            </w:rPr>
                          </w:pPr>
                          <w:r>
                            <w:rPr>
                              <w:rFonts w:hint="default" w:ascii="Times New Roman" w:hAnsi="Times New Roman" w:cs="Times New Roman"/>
                              <w:sz w:val="20"/>
                              <w:szCs w:val="22"/>
                            </w:rPr>
                            <w:fldChar w:fldCharType="begin"/>
                          </w:r>
                          <w:r>
                            <w:rPr>
                              <w:rFonts w:hint="default" w:ascii="Times New Roman" w:hAnsi="Times New Roman" w:cs="Times New Roman"/>
                              <w:sz w:val="20"/>
                              <w:szCs w:val="22"/>
                            </w:rPr>
                            <w:instrText xml:space="preserve"> PAGE  \* MERGEFORMAT </w:instrText>
                          </w:r>
                          <w:r>
                            <w:rPr>
                              <w:rFonts w:hint="default" w:ascii="Times New Roman" w:hAnsi="Times New Roman" w:cs="Times New Roman"/>
                              <w:sz w:val="20"/>
                              <w:szCs w:val="22"/>
                            </w:rPr>
                            <w:fldChar w:fldCharType="separate"/>
                          </w:r>
                          <w:r>
                            <w:rPr>
                              <w:rFonts w:hint="default" w:ascii="Times New Roman" w:hAnsi="Times New Roman" w:cs="Times New Roman"/>
                              <w:sz w:val="20"/>
                              <w:szCs w:val="22"/>
                            </w:rPr>
                            <w:t>2</w:t>
                          </w:r>
                          <w:r>
                            <w:rPr>
                              <w:rFonts w:hint="default" w:ascii="Times New Roman" w:hAnsi="Times New Roman" w:cs="Times New Roman"/>
                              <w:sz w:val="20"/>
                              <w:szCs w:val="22"/>
                            </w:rPr>
                            <w:fldChar w:fldCharType="end"/>
                          </w:r>
                        </w:p>
                      </w:txbxContent>
                    </wps:txbx>
                    <wps:bodyPr vert="horz" wrap="none" lIns="0" tIns="0" rIns="0" bIns="0" anchor="t" upright="0">
                      <a:spAutoFit/>
                    </wps:bodyPr>
                  </wps:wsp>
                </a:graphicData>
              </a:graphic>
            </wp:anchor>
          </w:drawing>
        </mc:Choice>
        <mc:Fallback>
          <w:pict>
            <v:rect id="文本框 5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DF0Msw0QEAAJ8DAAAOAAAAAAAAAAEAIAAAAB8BAABk&#10;cnMvZTJvRG9jLnhtbFBLBQYAAAAABgAGAFkBAABiBQAAAAA=&#10;">
              <v:fill on="f" focussize="0,0"/>
              <v:stroke on="f"/>
              <v:imagedata o:title=""/>
              <o:lock v:ext="edit" aspectratio="f"/>
              <v:textbox inset="0mm,0mm,0mm,0mm" style="mso-fit-shape-to-text:t;">
                <w:txbxContent>
                  <w:p w14:paraId="74675830">
                    <w:pPr>
                      <w:pStyle w:val="6"/>
                      <w:rPr>
                        <w:rFonts w:hint="default" w:ascii="Times New Roman" w:hAnsi="Times New Roman" w:cs="Times New Roman"/>
                        <w:sz w:val="20"/>
                        <w:szCs w:val="22"/>
                      </w:rPr>
                    </w:pPr>
                    <w:r>
                      <w:rPr>
                        <w:rFonts w:hint="default" w:ascii="Times New Roman" w:hAnsi="Times New Roman" w:cs="Times New Roman"/>
                        <w:sz w:val="20"/>
                        <w:szCs w:val="22"/>
                      </w:rPr>
                      <w:fldChar w:fldCharType="begin"/>
                    </w:r>
                    <w:r>
                      <w:rPr>
                        <w:rFonts w:hint="default" w:ascii="Times New Roman" w:hAnsi="Times New Roman" w:cs="Times New Roman"/>
                        <w:sz w:val="20"/>
                        <w:szCs w:val="22"/>
                      </w:rPr>
                      <w:instrText xml:space="preserve"> PAGE  \* MERGEFORMAT </w:instrText>
                    </w:r>
                    <w:r>
                      <w:rPr>
                        <w:rFonts w:hint="default" w:ascii="Times New Roman" w:hAnsi="Times New Roman" w:cs="Times New Roman"/>
                        <w:sz w:val="20"/>
                        <w:szCs w:val="22"/>
                      </w:rPr>
                      <w:fldChar w:fldCharType="separate"/>
                    </w:r>
                    <w:r>
                      <w:rPr>
                        <w:rFonts w:hint="default" w:ascii="Times New Roman" w:hAnsi="Times New Roman" w:cs="Times New Roman"/>
                        <w:sz w:val="20"/>
                        <w:szCs w:val="22"/>
                      </w:rPr>
                      <w:t>2</w:t>
                    </w:r>
                    <w:r>
                      <w:rPr>
                        <w:rFonts w:hint="default" w:ascii="Times New Roman" w:hAnsi="Times New Roman" w:cs="Times New Roman"/>
                        <w:sz w:val="20"/>
                        <w:szCs w:val="22"/>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719A7">
    <w:pPr>
      <w:spacing w:line="177" w:lineRule="auto"/>
      <w:ind w:left="7634"/>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306070" cy="137795"/>
              <wp:effectExtent l="0" t="0" r="0" b="0"/>
              <wp:wrapNone/>
              <wp:docPr id="4101" name="文本框 60"/>
              <wp:cNvGraphicFramePr/>
              <a:graphic xmlns:a="http://schemas.openxmlformats.org/drawingml/2006/main">
                <a:graphicData uri="http://schemas.microsoft.com/office/word/2010/wordprocessingShape">
                  <wps:wsp>
                    <wps:cNvSpPr/>
                    <wps:spPr>
                      <a:xfrm>
                        <a:off x="0" y="0"/>
                        <a:ext cx="306070" cy="137795"/>
                      </a:xfrm>
                      <a:prstGeom prst="rect">
                        <a:avLst/>
                      </a:prstGeom>
                      <a:ln>
                        <a:noFill/>
                      </a:ln>
                    </wps:spPr>
                    <wps:txbx>
                      <w:txbxContent>
                        <w:p w14:paraId="12DDFF7E">
                          <w:pPr>
                            <w:pStyle w:val="6"/>
                            <w:keepNext w:val="0"/>
                            <w:keepLines w:val="0"/>
                            <w:pageBreakBefore w:val="0"/>
                            <w:widowControl/>
                            <w:kinsoku w:val="0"/>
                            <w:wordWrap/>
                            <w:overflowPunct/>
                            <w:topLinePunct w:val="0"/>
                            <w:bidi w:val="0"/>
                            <w:adjustRightInd w:val="0"/>
                            <w:snapToGrid w:val="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19</w:t>
                          </w:r>
                          <w:r>
                            <w:rPr>
                              <w:rFonts w:hint="default" w:ascii="Times New Roman" w:hAnsi="Times New Roman" w:cs="Times New Roman"/>
                              <w:sz w:val="21"/>
                              <w:szCs w:val="21"/>
                            </w:rPr>
                            <w:fldChar w:fldCharType="end"/>
                          </w:r>
                        </w:p>
                      </w:txbxContent>
                    </wps:txbx>
                    <wps:bodyPr vert="horz" wrap="square" lIns="0" tIns="0" rIns="0" bIns="0" anchor="t" upright="0">
                      <a:noAutofit/>
                    </wps:bodyPr>
                  </wps:wsp>
                </a:graphicData>
              </a:graphic>
            </wp:anchor>
          </w:drawing>
        </mc:Choice>
        <mc:Fallback>
          <w:pict>
            <v:rect id="文本框 60" o:spid="_x0000_s1026" o:spt="1" style="position:absolute;left:0pt;margin-top:0pt;height:10.85pt;width:24.1pt;mso-position-horizontal:center;mso-position-horizontal-relative:margin;z-index:251659264;mso-width-relative:page;mso-height-relative:page;" filled="f" stroked="f" coordsize="21600,21600" o:gfxdata="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5giq7WAAAAAwEAAA8AAAAAAAAAAQAg&#10;AAAAIgAAAGRycy9kb3ducmV2LnhtbFBLAQIUABQAAAAIAIdO4kD7cSYa1wEAAJ8DAAAOAAAAAAAA&#10;AAEAIAAAACUBAABkcnMvZTJvRG9jLnhtbFBLBQYAAAAABgAGAFkBAABuBQAAAAA=&#10;">
              <v:fill on="f" focussize="0,0"/>
              <v:stroke on="f"/>
              <v:imagedata o:title=""/>
              <o:lock v:ext="edit" aspectratio="f"/>
              <v:textbox inset="0mm,0mm,0mm,0mm">
                <w:txbxContent>
                  <w:p w14:paraId="12DDFF7E">
                    <w:pPr>
                      <w:pStyle w:val="6"/>
                      <w:keepNext w:val="0"/>
                      <w:keepLines w:val="0"/>
                      <w:pageBreakBefore w:val="0"/>
                      <w:widowControl/>
                      <w:kinsoku w:val="0"/>
                      <w:wordWrap/>
                      <w:overflowPunct/>
                      <w:topLinePunct w:val="0"/>
                      <w:bidi w:val="0"/>
                      <w:adjustRightInd w:val="0"/>
                      <w:snapToGrid w:val="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19</w:t>
                    </w:r>
                    <w:r>
                      <w:rPr>
                        <w:rFonts w:hint="default" w:ascii="Times New Roman" w:hAnsi="Times New Roman" w:cs="Times New Roman"/>
                        <w:sz w:val="21"/>
                        <w:szCs w:val="21"/>
                      </w:rP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962C">
    <w:pPr>
      <w:spacing w:before="1" w:line="176" w:lineRule="auto"/>
      <w:ind w:left="231"/>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26060" cy="1828800"/>
              <wp:effectExtent l="0" t="0" r="0" b="0"/>
              <wp:wrapNone/>
              <wp:docPr id="4102" name="文本框 65"/>
              <wp:cNvGraphicFramePr/>
              <a:graphic xmlns:a="http://schemas.openxmlformats.org/drawingml/2006/main">
                <a:graphicData uri="http://schemas.microsoft.com/office/word/2010/wordprocessingShape">
                  <wps:wsp>
                    <wps:cNvSpPr/>
                    <wps:spPr>
                      <a:xfrm>
                        <a:off x="0" y="0"/>
                        <a:ext cx="226060" cy="1828800"/>
                      </a:xfrm>
                      <a:prstGeom prst="rect">
                        <a:avLst/>
                      </a:prstGeom>
                      <a:ln>
                        <a:noFill/>
                      </a:ln>
                    </wps:spPr>
                    <wps:txbx>
                      <w:txbxContent>
                        <w:p w14:paraId="0E3FDFB5">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53</w:t>
                          </w:r>
                          <w:r>
                            <w:rPr>
                              <w:rFonts w:hint="default" w:ascii="Times New Roman" w:hAnsi="Times New Roman" w:cs="Times New Roman"/>
                              <w:sz w:val="21"/>
                              <w:szCs w:val="21"/>
                            </w:rPr>
                            <w:fldChar w:fldCharType="end"/>
                          </w:r>
                        </w:p>
                      </w:txbxContent>
                    </wps:txbx>
                    <wps:bodyPr vert="horz" wrap="square" lIns="0" tIns="0" rIns="0" bIns="0" anchor="t" upright="0">
                      <a:spAutoFit/>
                    </wps:bodyPr>
                  </wps:wsp>
                </a:graphicData>
              </a:graphic>
            </wp:anchor>
          </w:drawing>
        </mc:Choice>
        <mc:Fallback>
          <w:pict>
            <v:rect id="文本框 65" o:spid="_x0000_s1026" o:spt="1" style="position:absolute;left:0pt;margin-top:0pt;height:144pt;width:17.8pt;mso-position-horizontal:center;mso-position-horizontal-relative:margin;z-index:251659264;mso-width-relative:page;mso-height-relative:page;" filled="f" stroked="f" coordsize="21600,21600" o:gfxdata="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3Gi8H1QAAAAQBAAAPAAAAAAAAAAEA&#10;IAAAACIAAABkcnMvZG93bnJldi54bWxQSwECFAAUAAAACACHTuJA9oYjFdkBAACgAwAADgAAAAAA&#10;AAABACAAAAAkAQAAZHJzL2Uyb0RvYy54bWxQSwUGAAAAAAYABgBZAQAAbwUAAAAA&#10;">
              <v:fill on="f" focussize="0,0"/>
              <v:stroke on="f"/>
              <v:imagedata o:title=""/>
              <o:lock v:ext="edit" aspectratio="f"/>
              <v:textbox inset="0mm,0mm,0mm,0mm" style="mso-fit-shape-to-text:t;">
                <w:txbxContent>
                  <w:p w14:paraId="0E3FDFB5">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53</w:t>
                    </w:r>
                    <w:r>
                      <w:rPr>
                        <w:rFonts w:hint="default" w:ascii="Times New Roman" w:hAnsi="Times New Roman" w:cs="Times New Roman"/>
                        <w:sz w:val="21"/>
                        <w:szCs w:val="21"/>
                      </w:rP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ACFEC">
    <w:pPr>
      <w:spacing w:before="1" w:line="176" w:lineRule="auto"/>
      <w:ind w:left="330"/>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6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0D67FC">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55</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6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PRZPT3TAQAAnwMAAA4AAAAAAAAAAQAgAAAAHwEA&#10;AGRycy9lMm9Eb2MueG1sUEsFBgAAAAAGAAYAWQEAAGQFAAAAAA==&#10;">
              <v:fill on="f" focussize="0,0"/>
              <v:stroke on="f"/>
              <v:imagedata o:title=""/>
              <o:lock v:ext="edit" aspectratio="f"/>
              <v:textbox inset="0mm,0mm,0mm,0mm" style="mso-fit-shape-to-text:t;">
                <w:txbxContent>
                  <w:p w14:paraId="5C0D67FC">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55</w:t>
                    </w:r>
                    <w:r>
                      <w:rPr>
                        <w:rFonts w:hint="default" w:ascii="Times New Roman" w:hAnsi="Times New Roman" w:cs="Times New Roman"/>
                        <w:sz w:val="21"/>
                        <w:szCs w:val="21"/>
                      </w:rP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B71E">
    <w:pPr>
      <w:spacing w:before="1" w:line="176" w:lineRule="auto"/>
      <w:ind w:left="7770"/>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7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AA3729">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69</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3dl+fTAQAAnwMAAA4AAABkcnMvZTJvRG9jLnhtbK1TzY7TMBC+I/EO&#10;lu80aYXY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UNZ05YevPLj++Xn78v&#10;v76xm1W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A3dl+fTAQAAnwMAAA4AAAAAAAAAAQAgAAAAHwEA&#10;AGRycy9lMm9Eb2MueG1sUEsFBgAAAAAGAAYAWQEAAGQFAAAAAA==&#10;">
              <v:fill on="f" focussize="0,0"/>
              <v:stroke on="f"/>
              <v:imagedata o:title=""/>
              <o:lock v:ext="edit" aspectratio="f"/>
              <v:textbox inset="0mm,0mm,0mm,0mm" style="mso-fit-shape-to-text:t;">
                <w:txbxContent>
                  <w:p w14:paraId="71AA3729">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69</w:t>
                    </w:r>
                    <w:r>
                      <w:rPr>
                        <w:rFonts w:hint="default" w:ascii="Times New Roman" w:hAnsi="Times New Roman" w:cs="Times New Roman"/>
                        <w:sz w:val="21"/>
                        <w:szCs w:val="21"/>
                      </w:rP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F7B82">
    <w:pPr>
      <w:spacing w:before="1" w:line="176" w:lineRule="auto"/>
      <w:ind w:left="69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7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4F0A31">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77</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zhtGHSAQAAnwMAAA4AAABkcnMvZTJvRG9jLnhtbK1TS47TQBDdI3GH&#10;Vu+JnYAgsu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mrZUmdd8JSzy8/vl9+/r78&#10;+sbevEwW9QErunkf7mDKkMKkd2jBpi8pYUO29Xy1VQ2RSdpcrlfrdUmOSzqbE8IpHp4HwPhOectS&#10;UHOgvmU7xekDxvHqfCVVMy6tzt9qY8bTtFMkmiOxFMVhP0xs9745k0yaegLvPHzlrKee19zRiHNm&#10;3juyNI3HHMAc7OdAOEkPax45OwbQhy6PUqKB4e0xEpXMMxUeq018qG9Z6TRjaTD+zvOth/9q+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bOG0YdIBAACfAwAADgAAAAAAAAABACAAAAAfAQAA&#10;ZHJzL2Uyb0RvYy54bWxQSwUGAAAAAAYABgBZAQAAYwUAAAAA&#10;">
              <v:fill on="f" focussize="0,0"/>
              <v:stroke on="f"/>
              <v:imagedata o:title=""/>
              <o:lock v:ext="edit" aspectratio="f"/>
              <v:textbox inset="0mm,0mm,0mm,0mm" style="mso-fit-shape-to-text:t;">
                <w:txbxContent>
                  <w:p w14:paraId="684F0A31">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77</w:t>
                    </w:r>
                    <w:r>
                      <w:rPr>
                        <w:rFonts w:hint="default" w:ascii="Times New Roman" w:hAnsi="Times New Roman" w:cs="Times New Roman"/>
                        <w:sz w:val="21"/>
                        <w:szCs w:val="21"/>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15743AF"/>
    <w:rsid w:val="054945C0"/>
    <w:rsid w:val="0723350B"/>
    <w:rsid w:val="13165F36"/>
    <w:rsid w:val="17F30151"/>
    <w:rsid w:val="180F015D"/>
    <w:rsid w:val="187B1307"/>
    <w:rsid w:val="1B7B0307"/>
    <w:rsid w:val="1C886BCD"/>
    <w:rsid w:val="1EB1763B"/>
    <w:rsid w:val="1F543E35"/>
    <w:rsid w:val="21CA6176"/>
    <w:rsid w:val="244A7AD3"/>
    <w:rsid w:val="25D146E9"/>
    <w:rsid w:val="2F361963"/>
    <w:rsid w:val="2F7666EC"/>
    <w:rsid w:val="36DF5796"/>
    <w:rsid w:val="3A861847"/>
    <w:rsid w:val="3DB64D77"/>
    <w:rsid w:val="3F1C55AC"/>
    <w:rsid w:val="3FF83425"/>
    <w:rsid w:val="41395AA3"/>
    <w:rsid w:val="41A903C9"/>
    <w:rsid w:val="480832B1"/>
    <w:rsid w:val="490E3CB9"/>
    <w:rsid w:val="4A1C2405"/>
    <w:rsid w:val="4F755B0E"/>
    <w:rsid w:val="5B294982"/>
    <w:rsid w:val="6A9F48FD"/>
    <w:rsid w:val="6DE76703"/>
    <w:rsid w:val="6F976E8F"/>
    <w:rsid w:val="702C2AF3"/>
    <w:rsid w:val="7330511B"/>
    <w:rsid w:val="74193E7B"/>
    <w:rsid w:val="783267CC"/>
    <w:rsid w:val="7BB95976"/>
    <w:rsid w:val="7DE339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11">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customStyle="1" w:styleId="12">
    <w:name w:val="Table Normal"/>
    <w:qFormat/>
    <w:uiPriority w:val="0"/>
    <w:tblPr>
      <w:tblCellMar>
        <w:top w:w="0" w:type="dxa"/>
        <w:left w:w="0" w:type="dxa"/>
        <w:bottom w:w="0" w:type="dxa"/>
        <w:right w:w="0" w:type="dxa"/>
      </w:tblCellMar>
    </w:tblPr>
  </w:style>
  <w:style w:type="paragraph" w:customStyle="1" w:styleId="13">
    <w:name w:val="Table Text"/>
    <w:basedOn w:val="1"/>
    <w:qFormat/>
    <w:uiPriority w:val="0"/>
    <w:rPr>
      <w:rFonts w:ascii="宋体" w:hAnsi="宋体" w:eastAsia="宋体" w:cs="宋体"/>
      <w:sz w:val="14"/>
      <w:szCs w:val="14"/>
      <w:lang w:val="en-US" w:eastAsia="en-US" w:bidi="ar-SA"/>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 w:type="paragraph" w:customStyle="1" w:styleId="17">
    <w:name w:val="No Spacing_62425ff3-251b-4b81-bdbb-a9a1020a0b36"/>
    <w:qFormat/>
    <w:uiPriority w:val="1"/>
    <w:pPr>
      <w:spacing w:after="50" w:afterLines="50"/>
      <w:jc w:val="center"/>
    </w:pPr>
    <w:rPr>
      <w:rFonts w:ascii="方正仿宋_GB2312" w:hAnsi="方正仿宋_GB2312" w:eastAsia="方正仿宋_GB2312" w:cs="方正仿宋_GB2312"/>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ontractReview xmlns="http://schemas.wps.cn/vas-ai-hub/contract-review">
  <reviewItems>
    <reviewItem>
      <errorID>ee24ccb8-3e90-4017-a997-048efbba9f4e</errorID>
      <errorWord>&lt;</errorWord>
      <group>L1_Format</group>
      <groupName>格式问题</groupName>
      <ability>L2_HalfPunc</ability>
      <abilityName>全半角检查</abilityName>
      <candidateList>
        <item>〈</item>
      </candidateList>
      <explain>文本全半角错误。</explain>
      <paraID>1F1DEB54</paraID>
      <start>127</start>
      <end>128</end>
      <status>ignored</status>
      <modifiedWord/>
      <trackRevisions>false</trackRevisions>
    </reviewItem>
    <reviewItem>
      <errorID>2b494da3-36fd-49ed-bc54-adf2333e7d21</errorID>
      <errorWord>&gt;</errorWord>
      <group>L1_Format</group>
      <groupName>格式问题</groupName>
      <ability>L2_HalfPunc</ability>
      <abilityName>全半角检查</abilityName>
      <candidateList>
        <item>〉</item>
      </candidateList>
      <explain>文本全半角错误。</explain>
      <paraID>1F1DEB54</paraID>
      <start>146</start>
      <end>147</end>
      <status>ignored</status>
      <modifiedWord/>
      <trackRevisions>false</trackRevisions>
    </reviewItem>
    <reviewItem>
      <errorID>27252e2c-2890-4e24-80e1-80ab147dcc5a</errorID>
      <errorWord>&lt;</errorWord>
      <group>L1_Format</group>
      <groupName>格式问题</groupName>
      <ability>L2_HalfPunc</ability>
      <abilityName>全半角检查</abilityName>
      <candidateList>
        <item>〈</item>
      </candidateList>
      <explain>文本全半角错误。</explain>
      <paraID>1F1DEB54</paraID>
      <start>177</start>
      <end>178</end>
      <status>ignored</status>
      <modifiedWord/>
      <trackRevisions>false</trackRevisions>
    </reviewItem>
    <reviewItem>
      <errorID>a813f611-64cb-40b6-9747-bb2154180a84</errorID>
      <errorWord>&gt;的通知》</errorWord>
      <group>L1_Punc</group>
      <groupName>标点问题</groupName>
      <ability>L2_Punc</ability>
      <abilityName>标点符号检查</abilityName>
      <candidateList>
        <item>〉的通知》</item>
      </candidateList>
      <explain/>
      <paraID>1F1DEB54</paraID>
      <start>195</start>
      <end>200</end>
      <status>ignored</status>
      <modifiedWord/>
      <trackRevisions>false</trackRevisions>
    </reviewItem>
    <reviewItem>
      <errorID>b30d8cd4-91b2-462c-83ee-f3cbcf53a9e5</errorID>
      <errorWord>粘结</errorWord>
      <group>L1_Word</group>
      <groupName>字词问题</groupName>
      <ability>L2_Typo</ability>
      <abilityName>字词错误</abilityName>
      <candidateList>
        <item>黏结</item>
      </candidateList>
      <explain>存在发音相同字词的误用。</explain>
      <paraID>1D3B0AD2</paraID>
      <start>154</start>
      <end>156</end>
      <status>ignored</status>
      <modifiedWord/>
      <trackRevisions>false</trackRevisions>
    </reviewItem>
    <reviewItem>
      <errorID>9e3d8675-b88a-4a24-8685-017785495ca8</errorID>
      <errorWord>外逸</errorWord>
      <group>L1_Word</group>
      <groupName>字词问题</groupName>
      <ability>L2_Typo</ability>
      <abilityName>字词错误</abilityName>
      <candidateList>
        <item>外溢</item>
      </candidateList>
      <explain/>
      <paraID>462491B7</paraID>
      <start>193</start>
      <end>195</end>
      <status>ignored</status>
      <modifiedWord/>
      <trackRevisions>false</trackRevisions>
    </reviewItem>
    <reviewItem>
      <errorID>477218a4-0cdf-44db-9729-0bd388a3d7d4</errorID>
      <errorWord>（</errorWord>
      <group>L1_Punc</group>
      <groupName>标点问题</groupName>
      <ability>L2_Punc</ability>
      <abilityName>标点符号检查</abilityName>
      <candidateList/>
      <explain>同一形式括号套用。</explain>
      <paraID>718A3EB8</paraID>
      <start>103</start>
      <end>104</end>
      <status>ignored</status>
      <modifiedWord/>
      <trackRevisions>false</trackRevisions>
    </reviewItem>
    <reviewItem>
      <errorID>ecf649f9-adf8-4329-aa4c-c9186df8a1ae</errorID>
      <errorWord>）</errorWord>
      <group>L1_Punc</group>
      <groupName>标点问题</groupName>
      <ability>L2_Punc</ability>
      <abilityName>标点符号检查</abilityName>
      <candidateList/>
      <explain>同一形式括号套用。</explain>
      <paraID>718A3EB8</paraID>
      <start>113</start>
      <end>114</end>
      <status>ignored</status>
      <modifiedWord/>
      <trackRevisions>false</trackRevisions>
    </reviewItem>
    <reviewItem>
      <errorID>c18bf8be-819a-4679-9365-2ffa851ad366</errorID>
      <errorWord>（</errorWord>
      <group>L1_Punc</group>
      <groupName>标点问题</groupName>
      <ability>L2_Punc</ability>
      <abilityName>标点符号检查</abilityName>
      <candidateList/>
      <explain>同一形式括号套用。</explain>
      <paraID> 4D47312</paraID>
      <start>135</start>
      <end>136</end>
      <status>ignored</status>
      <modifiedWord/>
      <trackRevisions>false</trackRevisions>
    </reviewItem>
    <reviewItem>
      <errorID>2d103ab7-7850-43ac-a0c4-cc042724cf91</errorID>
      <errorWord>）</errorWord>
      <group>L1_Punc</group>
      <groupName>标点问题</groupName>
      <ability>L2_Punc</ability>
      <abilityName>标点符号检查</abilityName>
      <candidateList/>
      <explain>同一形式括号套用。</explain>
      <paraID> 4D47312</paraID>
      <start>168</start>
      <end>169</end>
      <status>ignored</status>
      <modifiedWord/>
      <trackRevisions>false</trackRevisions>
    </reviewItem>
    <reviewItem>
      <errorID>219db477-67a3-4fe6-b9d9-cf8a3ad4e7ed</errorID>
      <errorWord>衡</errorWord>
      <group>L1_Word</group>
      <groupName>字词问题</groupName>
      <ability>L2_Typo</ability>
      <abilityName>字词错误</abilityName>
      <candidateList>
        <item>秤</item>
      </candidateList>
      <explain/>
      <paraID>7654A601</paraID>
      <start>79</start>
      <end>80</end>
      <status>ignored</status>
      <modifiedWord/>
      <trackRevisions>false</trackRevisions>
    </reviewItem>
    <reviewItem>
      <errorID>8a1eb3d2-dffa-4875-8707-5512bea3ebcc</errorID>
      <errorWord>涉</errorWord>
      <group>L1_Word</group>
      <groupName>字词问题</groupName>
      <ability>L2_Typo</ability>
      <abilityName>字词错误</abilityName>
      <candidateList>
        <item>涉及</item>
      </candidateList>
      <explain>〈动〉牵涉到；关联到：案子～好几个人｜这个问题～面很广。</explain>
      <paraID>2F19C505</paraID>
      <start>29</start>
      <end>30</end>
      <status>ignored</status>
      <modifiedWord/>
      <trackRevisions>false</trackRevisions>
    </reviewItem>
    <reviewItem>
      <errorID>a71316bc-e1a5-4c79-a577-4c143b170864</errorID>
      <errorWord>涉</errorWord>
      <group>L1_Word</group>
      <groupName>字词问题</groupName>
      <ability>L2_Typo</ability>
      <abilityName>字词错误</abilityName>
      <candidateList>
        <item>涉及</item>
      </candidateList>
      <explain>〈动〉牵涉到；关联到：案子～好几个人｜这个问题～面很广。</explain>
      <paraID>41A923A5</paraID>
      <start>29</start>
      <end>30</end>
      <status>ignored</status>
      <modifiedWord/>
      <trackRevisions>false</trackRevisions>
    </reviewItem>
    <reviewItem>
      <errorID>bae9e8da-ac9d-4bd9-accf-4839f2aee630</errorID>
      <errorWord>衡</errorWord>
      <group>L1_Word</group>
      <groupName>字词问题</groupName>
      <ability>L2_Typo</ability>
      <abilityName>字词错误</abilityName>
      <candidateList>
        <item>秤</item>
      </candidateList>
      <explain>存在发音相近字词的误用。</explain>
      <paraID>41011E5F</paraID>
      <start>85</start>
      <end>86</end>
      <status>ignored</status>
      <modifiedWord/>
      <trackRevisions>false</trackRevisions>
    </reviewItem>
    <reviewItem>
      <errorID>4f40ba3d-f734-4692-8b61-0b50192fee6b</errorID>
      <errorWord>外逸</errorWord>
      <group>L1_Word</group>
      <groupName>字词问题</groupName>
      <ability>L2_Typo</ability>
      <abilityName>字词错误</abilityName>
      <candidateList>
        <item>外溢</item>
      </candidateList>
      <explain/>
      <paraID>58D2ACA4</paraID>
      <start>12</start>
      <end>14</end>
      <status>ignored</status>
      <modifiedWord/>
      <trackRevisions>false</trackRevisions>
    </reviewItem>
    <reviewItem>
      <errorID>1c1f03cd-f258-4133-827a-a2c395d65ea0</errorID>
      <errorWord>（</errorWord>
      <group>L1_Punc</group>
      <groupName>标点问题</groupName>
      <ability>L2_Punc</ability>
      <abilityName>标点符号检查</abilityName>
      <candidateList/>
      <explain>同一形式括号套用。</explain>
      <paraID>7E11DCD5</paraID>
      <start>127</start>
      <end>128</end>
      <status>ignored</status>
      <modifiedWord/>
      <trackRevisions>false</trackRevisions>
    </reviewItem>
    <reviewItem>
      <errorID>49fa8415-1f50-4777-9190-947d14795af2</errorID>
      <errorWord>）</errorWord>
      <group>L1_Punc</group>
      <groupName>标点问题</groupName>
      <ability>L2_Punc</ability>
      <abilityName>标点符号检查</abilityName>
      <candidateList/>
      <explain>同一形式括号套用。</explain>
      <paraID>7E11DCD5</paraID>
      <start>129</start>
      <end>130</end>
      <status>ignored</status>
      <modifiedWord/>
      <trackRevisions>false</trackRevisions>
    </reviewItem>
    <reviewItem>
      <errorID>3e790046-1a35-4b34-8585-8e4303a427cc</errorID>
      <errorWord>（</errorWord>
      <group>L1_Punc</group>
      <groupName>标点问题</groupName>
      <ability>L2_Punc</ability>
      <abilityName>标点符号检查</abilityName>
      <candidateList/>
      <explain>同一形式括号套用。</explain>
      <paraID>7E11DCD5</paraID>
      <start>131</start>
      <end>132</end>
      <status>ignored</status>
      <modifiedWord/>
      <trackRevisions>false</trackRevisions>
    </reviewItem>
    <reviewItem>
      <errorID>456a04d0-4734-4806-a540-ebcb20d51733</errorID>
      <errorWord>）</errorWord>
      <group>L1_Punc</group>
      <groupName>标点问题</groupName>
      <ability>L2_Punc</ability>
      <abilityName>标点符号检查</abilityName>
      <candidateList/>
      <explain>同一形式括号套用。</explain>
      <paraID>7E11DCD5</paraID>
      <start>141</start>
      <end>142</end>
      <status>ignored</status>
      <modifiedWord/>
      <trackRevisions>false</trackRevisions>
    </reviewItem>
    <reviewItem>
      <errorID>ab3a454a-10a0-40d6-bc74-0cce9f5884a5</errorID>
      <errorWord>（</errorWord>
      <group>L1_Punc</group>
      <groupName>标点问题</groupName>
      <ability>L2_Punc</ability>
      <abilityName>标点符号检查</abilityName>
      <candidateList/>
      <explain>同一形式括号套用。</explain>
      <paraID>7E11DCD5</paraID>
      <start>174</start>
      <end>175</end>
      <status>ignored</status>
      <modifiedWord/>
      <trackRevisions>false</trackRevisions>
    </reviewItem>
    <reviewItem>
      <errorID>59cdc060-81ff-480d-94c6-3a63a55a837b</errorID>
      <errorWord>）</errorWord>
      <group>L1_Punc</group>
      <groupName>标点问题</groupName>
      <ability>L2_Punc</ability>
      <abilityName>标点符号检查</abilityName>
      <candidateList/>
      <explain>同一形式括号套用。</explain>
      <paraID>7E11DCD5</paraID>
      <start>176</start>
      <end>177</end>
      <status>ignored</status>
      <modifiedWord/>
      <trackRevisions>false</trackRevisions>
    </reviewItem>
    <reviewItem>
      <errorID>8b907830-8661-49e2-b6f5-ad70e79e7bc5</errorID>
      <errorWord>（</errorWord>
      <group>L1_Punc</group>
      <groupName>标点问题</groupName>
      <ability>L2_Punc</ability>
      <abilityName>标点符号检查</abilityName>
      <candidateList/>
      <explain>同一形式括号套用。</explain>
      <paraID> 6EAA051</paraID>
      <start>73</start>
      <end>74</end>
      <status>ignored</status>
      <modifiedWord/>
      <trackRevisions>false</trackRevisions>
    </reviewItem>
    <reviewItem>
      <errorID>aa141292-82b0-43c8-b12b-33829cb862a4</errorID>
      <errorWord>）</errorWord>
      <group>L1_Punc</group>
      <groupName>标点问题</groupName>
      <ability>L2_Punc</ability>
      <abilityName>标点符号检查</abilityName>
      <candidateList/>
      <explain>同一形式括号套用。</explain>
      <paraID> 6EAA051</paraID>
      <start>95</start>
      <end>96</end>
      <status>ignored</status>
      <modifiedWord/>
      <trackRevisions>false</trackRevisions>
    </reviewItem>
    <reviewItem>
      <errorID>9bdc13c4-d2fc-4ac2-9bdf-ee7d5bdc4f19</errorID>
      <errorWord>衡</errorWord>
      <group>L1_Word</group>
      <groupName>字词问题</groupName>
      <ability>L2_Typo</ability>
      <abilityName>字词错误</abilityName>
      <candidateList>
        <item>秤</item>
      </candidateList>
      <explain>存在发音相近字词的误用。</explain>
      <paraID>1FBBEF10</paraID>
      <start>83</start>
      <end>84</end>
      <status>ignored</status>
      <modifiedWord/>
      <trackRevisions>false</trackRevisions>
    </reviewItem>
    <reviewItem>
      <errorID>bc5d892c-f8d7-4310-be6b-c42de35d5b99</errorID>
      <errorWord>环保治理</errorWord>
      <group>L1_Word</group>
      <groupName>字词问题</groupName>
      <ability>L2_Typo</ability>
      <abilityName>字词错误</abilityName>
      <candidateList>
        <item>环境治理</item>
      </candidateList>
      <explain/>
      <paraID>59A625DE</paraID>
      <start>2</start>
      <end>6</end>
      <status>ignored</status>
      <modifiedWord/>
      <trackRevisions>false</trackRevisions>
    </reviewItem>
    <reviewItem>
      <errorID>b8638f4c-464c-44a4-99d3-02f3a4d31c14</errorID>
      <errorWord>运行运行</errorWord>
      <group>L1_Word</group>
      <groupName>字词问题</groupName>
      <ability>L2_Typo</ability>
      <abilityName>字词错误</abilityName>
      <candidateList>
        <item>运行</item>
      </candidateList>
      <explain/>
      <paraID>59A625DE</paraID>
      <start>26</start>
      <end>30</end>
      <status>ignored</status>
      <modifiedWord/>
      <trackRevisions>false</trackRevisions>
    </reviewItem>
    <reviewItem>
      <errorID>ec1cd7c5-d79a-4266-8bb9-6a8bbc838690</errorID>
      <errorWord>（</errorWord>
      <group>L1_Punc</group>
      <groupName>标点问题</groupName>
      <ability>L2_Punc</ability>
      <abilityName>标点符号检查</abilityName>
      <candidateList/>
      <explain>同一形式括号套用。</explain>
      <paraID>295A4827</paraID>
      <start>65</start>
      <end>66</end>
      <status>ignored</status>
      <modifiedWord/>
      <trackRevisions>false</trackRevisions>
    </reviewItem>
    <reviewItem>
      <errorID>69cc82dd-0c90-4a76-88e5-7f0a9dd9d70d</errorID>
      <errorWord>）</errorWord>
      <group>L1_Punc</group>
      <groupName>标点问题</groupName>
      <ability>L2_Punc</ability>
      <abilityName>标点符号检查</abilityName>
      <candidateList/>
      <explain>同一形式括号套用。</explain>
      <paraID>295A4827</paraID>
      <start>70</start>
      <end>71</end>
      <status>ignored</status>
      <modifiedWord/>
      <trackRevisions>false</trackRevisions>
    </reviewItem>
    <reviewItem>
      <errorID>705dce98-a21d-4fec-87d5-455ea1cafd29</errorID>
      <errorWord>（</errorWord>
      <group>L1_Punc</group>
      <groupName>标点问题</groupName>
      <ability>L2_Punc</ability>
      <abilityName>标点符号检查</abilityName>
      <candidateList/>
      <explain>同一形式括号套用。</explain>
      <paraID>295A4827</paraID>
      <start>162</start>
      <end>163</end>
      <status>ignored</status>
      <modifiedWord/>
      <trackRevisions>false</trackRevisions>
    </reviewItem>
    <reviewItem>
      <errorID>3ca93f18-aecf-448a-86e6-5ad0b889f26e</errorID>
      <errorWord>）</errorWord>
      <group>L1_Punc</group>
      <groupName>标点问题</groupName>
      <ability>L2_Punc</ability>
      <abilityName>标点符号检查</abilityName>
      <candidateList/>
      <explain>同一形式括号套用。</explain>
      <paraID>295A4827</paraID>
      <start>172</start>
      <end>173</end>
      <status>ignored</status>
      <modifiedWord/>
      <trackRevisions>false</trackRevisions>
    </reviewItem>
    <reviewItem>
      <errorID>a67008ce-aec7-4dde-bf99-a2bdbc7f516b</errorID>
      <errorWord>散状</errorWord>
      <group>L1_Word</group>
      <groupName>字词问题</groupName>
      <ability>L2_Typo</ability>
      <abilityName>字词错误</abilityName>
      <candidateList>
        <item>散装</item>
      </candidateList>
      <explain/>
      <paraID>2E8A5868</paraID>
      <start>4</start>
      <end>6</end>
      <status>ignored</status>
      <modifiedWord/>
      <trackRevisions>false</trackRevisions>
    </reviewItem>
    <reviewItem>
      <errorID>c1f2b080-2250-41e9-ac73-6b8e017ea930</errorID>
      <errorWord>粘结</errorWord>
      <group>L1_Word</group>
      <groupName>字词问题</groupName>
      <ability>L2_Typo</ability>
      <abilityName>字词错误</abilityName>
      <candidateList>
        <item>黏结</item>
      </candidateList>
      <explain/>
      <paraID> 103A778</paraID>
      <start>84</start>
      <end>86</end>
      <status>ignored</status>
      <modifiedWord/>
      <trackRevisions>false</trackRevisions>
    </reviewItem>
    <reviewItem>
      <errorID>2568116f-2179-4e76-9cdd-f1eec1567065</errorID>
      <errorWord>环保治理</errorWord>
      <group>L1_Word</group>
      <groupName>字词问题</groupName>
      <ability>L2_Typo</ability>
      <abilityName>字词错误</abilityName>
      <candidateList>
        <item>环境治理</item>
      </candidateList>
      <explain/>
      <paraID>1C424F72</paraID>
      <start>2</start>
      <end>6</end>
      <status>ignored</status>
      <modifiedWord/>
      <trackRevisions>false</trackRevisions>
    </reviewItem>
    <reviewItem>
      <errorID>fd597b5b-1a43-4723-a558-d4a95890c589</errorID>
      <errorWord>运行运行</errorWord>
      <group>L1_Word</group>
      <groupName>字词问题</groupName>
      <ability>L2_Typo</ability>
      <abilityName>字词错误</abilityName>
      <candidateList>
        <item>运行</item>
      </candidateList>
      <explain/>
      <paraID>1C424F72</paraID>
      <start>26</start>
      <end>28</end>
      <status>modified</status>
      <modifiedWord>运行</modifiedWord>
      <trackRevisions>false</trackRevisions>
    </reviewItem>
    <reviewItem>
      <errorID>fcaefb34-93ee-45b6-9c61-4b3081b089ea</errorID>
      <errorWord>（</errorWord>
      <group>L1_Punc</group>
      <groupName>标点问题</groupName>
      <ability>L2_Punc</ability>
      <abilityName>标点符号检查</abilityName>
      <candidateList/>
      <explain>同一形式括号套用。</explain>
      <paraID>3EEE18E2</paraID>
      <start>116</start>
      <end>117</end>
      <status>ignored</status>
      <modifiedWord/>
      <trackRevisions>false</trackRevisions>
    </reviewItem>
    <reviewItem>
      <errorID>c7fefac7-8754-4383-b767-51dbc6a3b45a</errorID>
      <errorWord>）</errorWord>
      <group>L1_Punc</group>
      <groupName>标点问题</groupName>
      <ability>L2_Punc</ability>
      <abilityName>标点符号检查</abilityName>
      <candidateList/>
      <explain>同一形式括号套用。</explain>
      <paraID>3EEE18E2</paraID>
      <start>126</start>
      <end>127</end>
      <status>ignored</status>
      <modifiedWord/>
      <trackRevisions>false</trackRevisions>
    </reviewItem>
    <reviewItem>
      <errorID>12949a82-4281-48cc-98f5-e6bccb1a69ec</errorID>
      <errorWord>外逸</errorWord>
      <group>L1_Word</group>
      <groupName>字词问题</groupName>
      <ability>L2_Typo</ability>
      <abilityName>字词错误</abilityName>
      <candidateList>
        <item>外溢</item>
      </candidateList>
      <explain/>
      <paraID>4392DB9D</paraID>
      <start>35</start>
      <end>37</end>
      <status>ignored</status>
      <modifiedWord/>
      <trackRevisions>false</trackRevisions>
    </reviewItem>
    <reviewItem>
      <errorID>a43658de-1bab-4989-9b2d-1c9a1a9aa32c</errorID>
      <errorWord>外逸</errorWord>
      <group>L1_Word</group>
      <groupName>字词问题</groupName>
      <ability>L2_Typo</ability>
      <abilityName>字词错误</abilityName>
      <candidateList>
        <item>外溢</item>
      </candidateList>
      <explain/>
      <paraID>416D963A</paraID>
      <start>16</start>
      <end>18</end>
      <status>ignored</status>
      <modifiedWord/>
      <trackRevisions>false</trackRevisions>
    </reviewItem>
    <reviewItem>
      <errorID>5d4b091b-cf33-45f7-a893-b19a00ae1e1e</errorID>
      <errorWord>多个</errorWord>
      <group>L1_Word</group>
      <groupName>字词问题</groupName>
      <ability>L2_Typo</ability>
      <abilityName>字词错误</abilityName>
      <candidateList>
        <item>多种</item>
      </candidateList>
      <explain/>
      <paraID>3A8ABFDE</paraID>
      <start>53</start>
      <end>55</end>
      <status>ignored</status>
      <modifiedWord/>
      <trackRevisions>false</trackRevisions>
    </reviewItem>
    <reviewItem>
      <errorID>fcbddc58-05a4-44a2-a39f-4e5053be1e55</errorID>
      <errorWord>多个</errorWord>
      <group>L1_Word</group>
      <groupName>字词问题</groupName>
      <ability>L2_Typo</ability>
      <abilityName>字词错误</abilityName>
      <candidateList>
        <item>多种</item>
      </candidateList>
      <explain/>
      <paraID>3CA87542</paraID>
      <start>53</start>
      <end>55</end>
      <status>ignored</status>
      <modifiedWord/>
      <trackRevisions>false</trackRevisions>
    </reviewItem>
    <reviewItem>
      <errorID>d838f160-5105-4438-bf39-d431903df271</errorID>
      <errorWord>环保治理</errorWord>
      <group>L1_Word</group>
      <groupName>字词问题</groupName>
      <ability>L2_Typo</ability>
      <abilityName>字词错误</abilityName>
      <candidateList>
        <item>环境治理</item>
      </candidateList>
      <explain/>
      <paraID>2B88A3C8</paraID>
      <start>20</start>
      <end>24</end>
      <status>ignored</status>
      <modifiedWord/>
      <trackRevisions>false</trackRevisions>
    </reviewItem>
    <reviewItem>
      <errorID>f08a5816-e3fd-4f99-b123-1b6be74e1757</errorID>
      <errorWord>)</errorWord>
      <group>L1_Format</group>
      <groupName>格式问题</groupName>
      <ability>L2_HalfPunc</ability>
      <abilityName>全半角检查</abilityName>
      <candidateList>
        <item>）</item>
      </candidateList>
      <explain>文本全半角错误。</explain>
      <paraID>78863660</paraID>
      <start>51</start>
      <end>52</end>
      <status>ignored</status>
      <modifiedWord/>
      <trackRevisions>false</trackRevisions>
    </reviewItem>
    <reviewItem>
      <errorID>5de3b4f2-d384-4639-9afc-de541d941414</errorID>
      <errorWord>（</errorWord>
      <group>L1_Punc</group>
      <groupName>标点问题</groupName>
      <ability>L2_Punc</ability>
      <abilityName>标点符号检查</abilityName>
      <candidateList/>
      <explain>同一形式括号套用。</explain>
      <paraID> CFDB3FD</paraID>
      <start>110</start>
      <end>111</end>
      <status>ignored</status>
      <modifiedWord/>
      <trackRevisions>false</trackRevisions>
    </reviewItem>
    <reviewItem>
      <errorID>5c5f87da-7e43-4941-a30c-6c5f755b9525</errorID>
      <errorWord>）</errorWord>
      <group>L1_Punc</group>
      <groupName>标点问题</groupName>
      <ability>L2_Punc</ability>
      <abilityName>标点符号检查</abilityName>
      <candidateList/>
      <explain>同一形式括号套用。</explain>
      <paraID> CFDB3FD</paraID>
      <start>143</start>
      <end>144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d746b1-9dee-41d7-b645-f693b3eb22ed}">
  <ds:schemaRefs/>
</ds:datastoreItem>
</file>

<file path=customXml/itemProps3.xml><?xml version="1.0" encoding="utf-8"?>
<ds:datastoreItem xmlns:ds="http://schemas.openxmlformats.org/officeDocument/2006/customXml" ds:itemID="{5757974b-f885-45ec-af24-e2d21e8adbf9}">
  <ds:schemaRefs/>
</ds:datastoreItem>
</file>

<file path=docProps/app.xml><?xml version="1.0" encoding="utf-8"?>
<Properties xmlns="http://schemas.openxmlformats.org/officeDocument/2006/extended-properties" xmlns:vt="http://schemas.openxmlformats.org/officeDocument/2006/docPropsVTypes">
  <Pages>57</Pages>
  <Words>36176</Words>
  <Characters>38780</Characters>
  <Paragraphs>1516</Paragraphs>
  <TotalTime>16</TotalTime>
  <ScaleCrop>false</ScaleCrop>
  <LinksUpToDate>false</LinksUpToDate>
  <CharactersWithSpaces>39395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2024-12-29T21:01:00Z</dcterms:created>
  <dc:creator>翻天印</dc:creator>
  <cp:lastModifiedBy>秦思</cp:lastModifiedBy>
  <cp:lastPrinted>2026-02-13T09:49:00Z</cp:lastPrinted>
  <dcterms:modified xsi:type="dcterms:W3CDTF">2026-02-27T02:16:53Z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2024-12-29T13:01:00Z</vt:filetime>
  </property>
  <property fmtid="{D5CDD505-2E9C-101B-9397-08002B2CF9AE}" pid="4" name="KSOTemplateDocerSaveRecord">
    <vt:lpwstr>eyJoZGlkIjoiYTA2MmI5YTYyNjExNzllZWNiMWY4OTlkNGMyYzZmMWEiLCJ1c2VySWQiOiIxMjE0OTEwNjkzIn0=</vt:lpwstr>
  </property>
  <property fmtid="{D5CDD505-2E9C-101B-9397-08002B2CF9AE}" pid="5" name="KSOProductBuildVer">
    <vt:lpwstr>2052-12.1.0.25225</vt:lpwstr>
  </property>
  <property fmtid="{D5CDD505-2E9C-101B-9397-08002B2CF9AE}" pid="6" name="ICV">
    <vt:lpwstr>3DDD5EA9AFA14850A9DE42968795865A_13</vt:lpwstr>
  </property>
</Properties>
</file>